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Default="005E6E9C" w:rsidP="005E6E9C">
      <w:pPr>
        <w:pStyle w:val="PARA01"/>
        <w:rPr>
          <w:i/>
          <w:color w:val="32789B"/>
        </w:rPr>
      </w:pPr>
    </w:p>
    <w:p w:rsidR="009A5547" w:rsidRDefault="009A5547" w:rsidP="009A5547">
      <w:pPr>
        <w:pStyle w:val="TITREDOC01"/>
      </w:pPr>
      <w:r>
        <w:t>L'égalité des genres à l'école</w:t>
      </w:r>
    </w:p>
    <w:p w:rsidR="005630BD" w:rsidRDefault="005630BD" w:rsidP="005630BD">
      <w:pPr>
        <w:pStyle w:val="PARA01"/>
      </w:pPr>
    </w:p>
    <w:p w:rsidR="005630BD" w:rsidRPr="005630BD" w:rsidRDefault="005630BD" w:rsidP="005630BD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>
        <w:rPr>
          <w:b/>
        </w:rPr>
        <w:t xml:space="preserve">Belgique, </w:t>
      </w:r>
      <w:r w:rsidRPr="005630BD">
        <w:rPr>
          <w:b/>
          <w:i/>
          <w:u w:val="single"/>
        </w:rPr>
        <w:t>Pour une éducation à l’égalité des genres</w:t>
      </w:r>
      <w:r w:rsidR="006367DD">
        <w:rPr>
          <w:b/>
          <w:i/>
          <w:u w:val="single"/>
        </w:rPr>
        <w:t>, nouvelles activités 2015-2016</w:t>
      </w:r>
    </w:p>
    <w:p w:rsidR="005630BD" w:rsidRDefault="005630BD" w:rsidP="00877FA8">
      <w:pPr>
        <w:pStyle w:val="PARA01"/>
        <w:jc w:val="both"/>
      </w:pPr>
    </w:p>
    <w:p w:rsidR="009A5547" w:rsidRDefault="009A5547" w:rsidP="009A5547">
      <w:pPr>
        <w:pStyle w:val="PARA01"/>
        <w:jc w:val="both"/>
      </w:pPr>
      <w:r>
        <w:t xml:space="preserve">Au départ de l'outil </w:t>
      </w:r>
      <w:r w:rsidRPr="009A5547">
        <w:rPr>
          <w:i/>
        </w:rPr>
        <w:t>« Filles et garçons à l'école maternelle »</w:t>
      </w:r>
      <w:r>
        <w:t xml:space="preserve"> de </w:t>
      </w:r>
      <w:proofErr w:type="spellStart"/>
      <w:r>
        <w:t>Genderatwork</w:t>
      </w:r>
      <w:proofErr w:type="spellEnd"/>
      <w:r>
        <w:t>, livret</w:t>
      </w:r>
      <w:r>
        <w:t xml:space="preserve"> </w:t>
      </w:r>
      <w:r>
        <w:t>très concret sur les pistes d'action possible dans l'école et dans la classe pour</w:t>
      </w:r>
      <w:r>
        <w:t xml:space="preserve"> </w:t>
      </w:r>
      <w:r>
        <w:t>travailler le genre (voir annexes).</w:t>
      </w:r>
    </w:p>
    <w:p w:rsidR="009A5547" w:rsidRDefault="009A5547" w:rsidP="009A5547">
      <w:pPr>
        <w:pStyle w:val="PARA01"/>
        <w:jc w:val="both"/>
      </w:pPr>
      <w:r>
        <w:t>Dans la suite de ce qui a été abordé dans l'échange précédent, nous envisageons le</w:t>
      </w:r>
      <w:r>
        <w:t xml:space="preserve"> </w:t>
      </w:r>
      <w:r>
        <w:t>travail autour de l'égalité des genres comme une compétence transversale dans</w:t>
      </w:r>
      <w:r>
        <w:t xml:space="preserve"> </w:t>
      </w:r>
      <w:r>
        <w:t>l'école, qui doit s'aborder au-delà d'une matière de cours spécifique : un savoir-être</w:t>
      </w:r>
      <w:r>
        <w:t xml:space="preserve"> </w:t>
      </w:r>
      <w:r>
        <w:t>plutôt qu'un savoir ou savoir-faire. L'égalité des genres ne se décrète pas, elle se vit</w:t>
      </w:r>
      <w:r>
        <w:t xml:space="preserve"> </w:t>
      </w:r>
      <w:r>
        <w:t>au quotidien.</w:t>
      </w:r>
    </w:p>
    <w:p w:rsidR="009A5547" w:rsidRDefault="009A5547" w:rsidP="009A5547">
      <w:pPr>
        <w:pStyle w:val="PARA01"/>
        <w:jc w:val="both"/>
      </w:pPr>
    </w:p>
    <w:p w:rsidR="009A5547" w:rsidRDefault="009A5547" w:rsidP="009A5547">
      <w:pPr>
        <w:pStyle w:val="PARA01"/>
        <w:jc w:val="both"/>
      </w:pPr>
      <w:r>
        <w:t>Dans cette perspective, constitution de quatre sous-groupes, chacun allant aborder</w:t>
      </w:r>
      <w:r>
        <w:t xml:space="preserve"> </w:t>
      </w:r>
      <w:r>
        <w:t>une dimension de cette transversalité du genre :</w:t>
      </w:r>
    </w:p>
    <w:p w:rsidR="009A5547" w:rsidRDefault="009A5547" w:rsidP="009A5547">
      <w:pPr>
        <w:pStyle w:val="LISTE02"/>
      </w:pPr>
      <w:r w:rsidRPr="009A5547">
        <w:rPr>
          <w:b/>
        </w:rPr>
        <w:t>Les activités</w:t>
      </w:r>
      <w:r>
        <w:t xml:space="preserve"> : Que faire en classe si on veut aborder le genre, avec quels</w:t>
      </w:r>
      <w:r>
        <w:t xml:space="preserve"> </w:t>
      </w:r>
      <w:r>
        <w:t>outils ? Transposition des activités de la formation ? ...</w:t>
      </w:r>
    </w:p>
    <w:p w:rsidR="009A5547" w:rsidRDefault="009A5547" w:rsidP="009A5547">
      <w:pPr>
        <w:pStyle w:val="LISTE02"/>
      </w:pPr>
      <w:r w:rsidRPr="009A5547">
        <w:rPr>
          <w:b/>
        </w:rPr>
        <w:t xml:space="preserve">Le matériel et les aménagements </w:t>
      </w:r>
      <w:r>
        <w:t>: Quels livres, quels manuels scolaires,</w:t>
      </w:r>
      <w:r>
        <w:t xml:space="preserve"> </w:t>
      </w:r>
      <w:r>
        <w:t>quels jeux ? Comment les utiliser ? Quels aménagements dans les locaux, dans les</w:t>
      </w:r>
      <w:r>
        <w:t xml:space="preserve"> </w:t>
      </w:r>
      <w:r>
        <w:t>espaces extérieurs ? ...</w:t>
      </w:r>
    </w:p>
    <w:p w:rsidR="009A5547" w:rsidRDefault="009A5547" w:rsidP="009A5547">
      <w:pPr>
        <w:pStyle w:val="LISTE02"/>
      </w:pPr>
      <w:r w:rsidRPr="009A5547">
        <w:rPr>
          <w:b/>
        </w:rPr>
        <w:t>Les interactions et les attitudes avec les enfants</w:t>
      </w:r>
      <w:r>
        <w:t xml:space="preserve"> : Le non-verbal, les</w:t>
      </w:r>
      <w:r>
        <w:t xml:space="preserve"> </w:t>
      </w:r>
      <w:r>
        <w:t>interventions, les punitions, les rappels à l'ordre...</w:t>
      </w:r>
    </w:p>
    <w:p w:rsidR="009A5547" w:rsidRDefault="009A5547" w:rsidP="009A5547">
      <w:pPr>
        <w:pStyle w:val="LISTE02"/>
      </w:pPr>
      <w:r w:rsidRPr="009A5547">
        <w:rPr>
          <w:b/>
        </w:rPr>
        <w:t>Les interactions, les relations avec les parents</w:t>
      </w:r>
      <w:r>
        <w:t xml:space="preserve"> : la place du père, la</w:t>
      </w:r>
      <w:r>
        <w:t xml:space="preserve"> </w:t>
      </w:r>
      <w:r>
        <w:t>transmission des informations, les jugements sur les compétences parentales…</w:t>
      </w:r>
      <w:r>
        <w:t xml:space="preserve"> </w:t>
      </w:r>
    </w:p>
    <w:p w:rsidR="009A5547" w:rsidRDefault="009A5547" w:rsidP="009A5547">
      <w:pPr>
        <w:pStyle w:val="PARA01"/>
        <w:rPr>
          <w:b/>
        </w:rPr>
      </w:pPr>
    </w:p>
    <w:p w:rsidR="009A5547" w:rsidRPr="009A5547" w:rsidRDefault="009A5547" w:rsidP="009A5547">
      <w:pPr>
        <w:pStyle w:val="PARA01"/>
        <w:rPr>
          <w:b/>
        </w:rPr>
      </w:pPr>
      <w:r w:rsidRPr="009A5547">
        <w:rPr>
          <w:b/>
        </w:rPr>
        <w:t>Pour chaque dimension</w:t>
      </w:r>
      <w:r>
        <w:rPr>
          <w:b/>
        </w:rPr>
        <w:t> :</w:t>
      </w:r>
    </w:p>
    <w:p w:rsidR="009A5547" w:rsidRDefault="009A5547" w:rsidP="009A5547">
      <w:pPr>
        <w:pStyle w:val="LISTE02"/>
      </w:pPr>
      <w:r>
        <w:t xml:space="preserve">Quelles propositions concrètes ? </w:t>
      </w:r>
      <w:bookmarkStart w:id="0" w:name="_GoBack"/>
      <w:bookmarkEnd w:id="0"/>
    </w:p>
    <w:p w:rsidR="009A5547" w:rsidRDefault="009A5547" w:rsidP="009A5547">
      <w:pPr>
        <w:pStyle w:val="LISTE02"/>
      </w:pPr>
      <w:r>
        <w:t>Quels outils éventuels ?</w:t>
      </w:r>
    </w:p>
    <w:p w:rsidR="009A5547" w:rsidRDefault="009A5547" w:rsidP="009A5547">
      <w:pPr>
        <w:pStyle w:val="LISTE02"/>
      </w:pPr>
      <w:r>
        <w:t>Quels points d'attention ou de vigilance ?</w:t>
      </w:r>
    </w:p>
    <w:p w:rsidR="009A5547" w:rsidRDefault="009A5547" w:rsidP="009A5547">
      <w:pPr>
        <w:pStyle w:val="PARA01"/>
        <w:jc w:val="both"/>
      </w:pPr>
    </w:p>
    <w:p w:rsidR="009A5547" w:rsidRDefault="009A5547" w:rsidP="009A5547">
      <w:pPr>
        <w:pStyle w:val="PARA01"/>
        <w:jc w:val="both"/>
      </w:pPr>
      <w:r w:rsidRPr="009A5547">
        <w:rPr>
          <w:b/>
        </w:rPr>
        <w:t>Échange</w:t>
      </w:r>
      <w:r>
        <w:t xml:space="preserve"> dans chaque sous-groupe</w:t>
      </w:r>
    </w:p>
    <w:p w:rsidR="009A5547" w:rsidRDefault="009A5547" w:rsidP="009A5547">
      <w:pPr>
        <w:pStyle w:val="PARA01"/>
        <w:jc w:val="both"/>
      </w:pPr>
    </w:p>
    <w:p w:rsidR="009A5547" w:rsidRDefault="009A5547" w:rsidP="009A5547">
      <w:pPr>
        <w:pStyle w:val="PARA01"/>
        <w:jc w:val="both"/>
      </w:pPr>
      <w:r w:rsidRPr="009A5547">
        <w:rPr>
          <w:b/>
        </w:rPr>
        <w:t>R</w:t>
      </w:r>
      <w:r w:rsidRPr="009A5547">
        <w:rPr>
          <w:b/>
        </w:rPr>
        <w:t>éalisation</w:t>
      </w:r>
      <w:r>
        <w:t xml:space="preserve"> d'un panneau récapitulatif.</w:t>
      </w:r>
    </w:p>
    <w:p w:rsidR="009A5547" w:rsidRDefault="009A5547" w:rsidP="009A5547">
      <w:pPr>
        <w:pStyle w:val="PARA01"/>
        <w:jc w:val="both"/>
      </w:pPr>
    </w:p>
    <w:p w:rsidR="003C7CEB" w:rsidRPr="00CD5678" w:rsidRDefault="009A5547" w:rsidP="009A5547">
      <w:pPr>
        <w:pStyle w:val="PARA01"/>
        <w:jc w:val="both"/>
      </w:pPr>
      <w:r w:rsidRPr="009A5547">
        <w:rPr>
          <w:b/>
        </w:rPr>
        <w:t>Présentation des panneaux et échange</w:t>
      </w:r>
      <w:r>
        <w:t xml:space="preserve"> : </w:t>
      </w:r>
      <w:r w:rsidRPr="009A5547">
        <w:rPr>
          <w:i/>
        </w:rPr>
        <w:t>« L'éducation à l'égalité des genres à</w:t>
      </w:r>
      <w:r w:rsidRPr="009A5547">
        <w:rPr>
          <w:i/>
        </w:rPr>
        <w:t xml:space="preserve"> </w:t>
      </w:r>
      <w:r w:rsidRPr="009A5547">
        <w:rPr>
          <w:i/>
        </w:rPr>
        <w:t>l'école, dans la classe. »</w:t>
      </w:r>
    </w:p>
    <w:sectPr w:rsidR="003C7CEB" w:rsidRPr="00CD5678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06B" w:rsidRDefault="0062106B" w:rsidP="000C0925">
      <w:pPr>
        <w:spacing w:after="0" w:line="240" w:lineRule="auto"/>
      </w:pPr>
      <w:r>
        <w:separator/>
      </w:r>
    </w:p>
  </w:endnote>
  <w:endnote w:type="continuationSeparator" w:id="0">
    <w:p w:rsidR="0062106B" w:rsidRDefault="0062106B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06B" w:rsidRDefault="0062106B" w:rsidP="000C0925">
      <w:pPr>
        <w:spacing w:after="0" w:line="240" w:lineRule="auto"/>
      </w:pPr>
      <w:r>
        <w:separator/>
      </w:r>
    </w:p>
  </w:footnote>
  <w:footnote w:type="continuationSeparator" w:id="0">
    <w:p w:rsidR="0062106B" w:rsidRDefault="0062106B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9A5547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96F"/>
    <w:multiLevelType w:val="hybridMultilevel"/>
    <w:tmpl w:val="CB6C9390"/>
    <w:lvl w:ilvl="0" w:tplc="92843E34">
      <w:numFmt w:val="bullet"/>
      <w:lvlText w:val="−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C5B5AB4"/>
    <w:multiLevelType w:val="hybridMultilevel"/>
    <w:tmpl w:val="FC4A4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6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4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75707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C7CEB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30BD"/>
    <w:rsid w:val="00566BDD"/>
    <w:rsid w:val="005D1382"/>
    <w:rsid w:val="005D5CF4"/>
    <w:rsid w:val="005E6E9C"/>
    <w:rsid w:val="005F5E8C"/>
    <w:rsid w:val="0062106B"/>
    <w:rsid w:val="006367DD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77FA8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9A5547"/>
    <w:rsid w:val="009D6B36"/>
    <w:rsid w:val="00A22A48"/>
    <w:rsid w:val="00A271FE"/>
    <w:rsid w:val="00A41610"/>
    <w:rsid w:val="00A613EC"/>
    <w:rsid w:val="00AA2D7E"/>
    <w:rsid w:val="00AD28DE"/>
    <w:rsid w:val="00AD60FC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D5678"/>
    <w:rsid w:val="00CF039A"/>
    <w:rsid w:val="00CF49D6"/>
    <w:rsid w:val="00D1076C"/>
    <w:rsid w:val="00D111A4"/>
    <w:rsid w:val="00D4415D"/>
    <w:rsid w:val="00D55983"/>
    <w:rsid w:val="00D7351D"/>
    <w:rsid w:val="00DC092E"/>
    <w:rsid w:val="00DC7485"/>
    <w:rsid w:val="00E330FF"/>
    <w:rsid w:val="00E51C64"/>
    <w:rsid w:val="00E71E16"/>
    <w:rsid w:val="00E727A6"/>
    <w:rsid w:val="00E92EB9"/>
    <w:rsid w:val="00E974E0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9A5547"/>
    <w:pPr>
      <w:numPr>
        <w:numId w:val="7"/>
      </w:numPr>
      <w:ind w:left="714" w:hanging="357"/>
      <w:contextualSpacing w:val="0"/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50E6-3590-4D08-910F-95707CC1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2</cp:revision>
  <cp:lastPrinted>2017-11-24T10:30:00Z</cp:lastPrinted>
  <dcterms:created xsi:type="dcterms:W3CDTF">2017-11-24T10:33:00Z</dcterms:created>
  <dcterms:modified xsi:type="dcterms:W3CDTF">2017-11-24T10:33:00Z</dcterms:modified>
</cp:coreProperties>
</file>