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04277A" w:rsidRPr="0004277A" w:rsidRDefault="00B27E45" w:rsidP="0004277A">
      <w:pPr>
        <w:pStyle w:val="TITRETexte03"/>
        <w:ind w:left="720"/>
        <w:jc w:val="center"/>
        <w:rPr>
          <w:rFonts w:ascii="Frente H1" w:hAnsi="Frente H1"/>
          <w:sz w:val="36"/>
        </w:rPr>
      </w:pPr>
      <w:r>
        <w:rPr>
          <w:rFonts w:ascii="Frente H1" w:hAnsi="Frente H1"/>
          <w:sz w:val="36"/>
        </w:rPr>
        <w:t>L’auto-évaluation, Regard sur ma formation</w:t>
      </w:r>
    </w:p>
    <w:p w:rsidR="00BA0C70" w:rsidRDefault="00BA0C70" w:rsidP="00B716DF">
      <w:pPr>
        <w:pStyle w:val="TITRETexte03"/>
      </w:pPr>
    </w:p>
    <w:p w:rsidR="0034511D" w:rsidRPr="0034511D" w:rsidRDefault="00B27E45" w:rsidP="0034511D">
      <w:pPr>
        <w:pStyle w:val="PARA01"/>
        <w:rPr>
          <w:i/>
        </w:rPr>
      </w:pPr>
      <w:r>
        <w:rPr>
          <w:i/>
        </w:rPr>
        <w:t>Aussi appelée  « parcours personnel de formation ».</w:t>
      </w: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061C49" w:rsidRDefault="00B27E45" w:rsidP="00061C49">
            <w:pPr>
              <w:pStyle w:val="PARA01"/>
            </w:pPr>
            <w:r>
              <w:t>Stage BAFA et BAFD – auto-évaluation de son stage.</w:t>
            </w:r>
          </w:p>
          <w:p w:rsidR="0034511D" w:rsidRPr="00061C49" w:rsidRDefault="0034511D" w:rsidP="00061C49">
            <w:pPr>
              <w:pStyle w:val="PARA01"/>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79"/>
      </w:tblGrid>
      <w:tr w:rsidR="00251DEA" w:rsidRPr="0084780C" w:rsidTr="00D64639">
        <w:tc>
          <w:tcPr>
            <w:tcW w:w="1668" w:type="dxa"/>
          </w:tcPr>
          <w:p w:rsidR="00251DEA" w:rsidRPr="00BA0C70" w:rsidRDefault="00251DEA" w:rsidP="00BA0C70">
            <w:pPr>
              <w:pStyle w:val="PARA-tableau01"/>
              <w:rPr>
                <w:b/>
              </w:rPr>
            </w:pPr>
            <w:r w:rsidRPr="00BA0C70">
              <w:rPr>
                <w:b/>
              </w:rPr>
              <w:t>Objectif(s)</w:t>
            </w:r>
          </w:p>
        </w:tc>
        <w:tc>
          <w:tcPr>
            <w:tcW w:w="8079" w:type="dxa"/>
          </w:tcPr>
          <w:p w:rsidR="00251DEA" w:rsidRPr="0084780C" w:rsidRDefault="00251DEA" w:rsidP="00251DEA">
            <w:pPr>
              <w:pStyle w:val="PARA-tableau01"/>
            </w:pPr>
            <w:r w:rsidRPr="0084780C">
              <w:t>Il permet de prendre en main sa formation, ainsi que de porter un regard distancié et objectif sur son parcours.</w:t>
            </w:r>
          </w:p>
        </w:tc>
      </w:tr>
      <w:tr w:rsidR="00251DEA" w:rsidRPr="0084780C" w:rsidTr="00D64639">
        <w:tc>
          <w:tcPr>
            <w:tcW w:w="1668" w:type="dxa"/>
          </w:tcPr>
          <w:p w:rsidR="00251DEA" w:rsidRPr="00BA0C70" w:rsidRDefault="00251DEA" w:rsidP="00BA0C70">
            <w:pPr>
              <w:pStyle w:val="PARA-tableau01"/>
              <w:rPr>
                <w:b/>
              </w:rPr>
            </w:pPr>
            <w:r w:rsidRPr="00BA0C70">
              <w:rPr>
                <w:b/>
              </w:rPr>
              <w:t>Type de groupe</w:t>
            </w:r>
          </w:p>
        </w:tc>
        <w:tc>
          <w:tcPr>
            <w:tcW w:w="8079" w:type="dxa"/>
          </w:tcPr>
          <w:p w:rsidR="00251DEA" w:rsidRPr="0084780C" w:rsidRDefault="00251DEA" w:rsidP="00251DEA">
            <w:pPr>
              <w:pStyle w:val="PARA-tableau01"/>
            </w:pPr>
            <w:r w:rsidRPr="0084780C">
              <w:t>Sous-groupes fixes avec le même formateur</w:t>
            </w:r>
          </w:p>
        </w:tc>
      </w:tr>
      <w:tr w:rsidR="00251DEA" w:rsidRPr="0084780C" w:rsidTr="00D64639">
        <w:tc>
          <w:tcPr>
            <w:tcW w:w="1668" w:type="dxa"/>
          </w:tcPr>
          <w:p w:rsidR="00251DEA" w:rsidRPr="00BA0C70" w:rsidRDefault="00251DEA" w:rsidP="00BA0C70">
            <w:pPr>
              <w:pStyle w:val="PARA-tableau01"/>
              <w:rPr>
                <w:b/>
              </w:rPr>
            </w:pPr>
            <w:r w:rsidRPr="00BA0C70">
              <w:rPr>
                <w:b/>
              </w:rPr>
              <w:t>Fréquence</w:t>
            </w:r>
          </w:p>
        </w:tc>
        <w:tc>
          <w:tcPr>
            <w:tcW w:w="8079" w:type="dxa"/>
          </w:tcPr>
          <w:p w:rsidR="00251DEA" w:rsidRPr="0084780C" w:rsidRDefault="00251DEA" w:rsidP="00251DEA">
            <w:pPr>
              <w:pStyle w:val="PARA-tableau01"/>
            </w:pPr>
            <w:r w:rsidRPr="0084780C">
              <w:t xml:space="preserve">3 fois </w:t>
            </w:r>
          </w:p>
        </w:tc>
      </w:tr>
      <w:tr w:rsidR="00251DEA" w:rsidRPr="0084780C" w:rsidTr="00D64639">
        <w:tc>
          <w:tcPr>
            <w:tcW w:w="1668" w:type="dxa"/>
          </w:tcPr>
          <w:p w:rsidR="00251DEA" w:rsidRPr="00BA0C70" w:rsidRDefault="00251DEA" w:rsidP="00BA0C70">
            <w:pPr>
              <w:pStyle w:val="PARA-tableau01"/>
              <w:rPr>
                <w:b/>
              </w:rPr>
            </w:pPr>
            <w:r w:rsidRPr="00BA0C70">
              <w:rPr>
                <w:b/>
              </w:rPr>
              <w:t>Durée</w:t>
            </w:r>
          </w:p>
        </w:tc>
        <w:tc>
          <w:tcPr>
            <w:tcW w:w="8079" w:type="dxa"/>
          </w:tcPr>
          <w:p w:rsidR="00251DEA" w:rsidRPr="0084780C" w:rsidRDefault="00251DEA" w:rsidP="00251DEA">
            <w:pPr>
              <w:pStyle w:val="PARA-tableau01"/>
            </w:pPr>
            <w:r w:rsidRPr="0084780C">
              <w:t xml:space="preserve">1h30 à 2H00 en fonction de la taille des groupes. </w:t>
            </w:r>
          </w:p>
        </w:tc>
      </w:tr>
      <w:tr w:rsidR="00251DEA" w:rsidRPr="0084780C" w:rsidTr="00D64639">
        <w:tc>
          <w:tcPr>
            <w:tcW w:w="1668" w:type="dxa"/>
          </w:tcPr>
          <w:p w:rsidR="00251DEA" w:rsidRPr="00BA0C70" w:rsidRDefault="00251DEA" w:rsidP="00BA0C70">
            <w:pPr>
              <w:pStyle w:val="PARA-tableau01"/>
              <w:rPr>
                <w:b/>
              </w:rPr>
            </w:pPr>
            <w:r w:rsidRPr="00BA0C70">
              <w:rPr>
                <w:b/>
              </w:rPr>
              <w:t>Moment</w:t>
            </w:r>
          </w:p>
        </w:tc>
        <w:tc>
          <w:tcPr>
            <w:tcW w:w="8079" w:type="dxa"/>
          </w:tcPr>
          <w:p w:rsidR="00251DEA" w:rsidRPr="0084780C" w:rsidRDefault="00251DEA" w:rsidP="00251DEA">
            <w:pPr>
              <w:pStyle w:val="PARA-tableau01"/>
            </w:pPr>
            <w:r w:rsidRPr="0084780C">
              <w:t>Début, milieu et fin de stage</w:t>
            </w:r>
          </w:p>
        </w:tc>
      </w:tr>
      <w:tr w:rsidR="00251DEA" w:rsidRPr="0084780C" w:rsidTr="00D64639">
        <w:tc>
          <w:tcPr>
            <w:tcW w:w="1668" w:type="dxa"/>
          </w:tcPr>
          <w:p w:rsidR="00251DEA" w:rsidRPr="00BA0C70" w:rsidRDefault="00251DEA" w:rsidP="00BA0C70">
            <w:pPr>
              <w:pStyle w:val="PARA-tableau01"/>
              <w:rPr>
                <w:b/>
              </w:rPr>
            </w:pPr>
            <w:r w:rsidRPr="00BA0C70">
              <w:rPr>
                <w:b/>
              </w:rPr>
              <w:t>Descriptif</w:t>
            </w:r>
          </w:p>
        </w:tc>
        <w:tc>
          <w:tcPr>
            <w:tcW w:w="8079" w:type="dxa"/>
          </w:tcPr>
          <w:p w:rsidR="00251DEA" w:rsidRPr="0084780C" w:rsidRDefault="00251DEA" w:rsidP="00251DEA">
            <w:pPr>
              <w:pStyle w:val="PARA-tableau01"/>
            </w:pPr>
            <w:r w:rsidRPr="0084780C">
              <w:t>C’est un temps d’autoévaluation au cours duquel on analyse son parcours de formation. L’objectif est de mettre en mots son projet de formation ainsi que de le questionner et le réadapter tout au long du stage. Ce n’est pas un moment de validation.</w:t>
            </w:r>
          </w:p>
          <w:p w:rsidR="00251DEA" w:rsidRPr="0084780C" w:rsidRDefault="00251DEA" w:rsidP="00251DEA">
            <w:pPr>
              <w:pStyle w:val="PARA-tableau01"/>
            </w:pPr>
            <w:r w:rsidRPr="0084780C">
              <w:t xml:space="preserve">Il s’agit pour chacun de pouvoir mesurer là où il en est au niveau de ses expériences, conceptions et représentations de l’animation. C’est aussi l’occasion de pouvoir évaluer ses acquis, ses ressources mais également ses faiblesses et ses manques. </w:t>
            </w:r>
          </w:p>
          <w:p w:rsidR="00251DEA" w:rsidRPr="0084780C" w:rsidRDefault="00251DEA" w:rsidP="00251DEA">
            <w:pPr>
              <w:pStyle w:val="PARA-tableau01"/>
            </w:pPr>
            <w:r w:rsidRPr="00B86F97">
              <w:t>L’évaluation se passe en trois temps : la découverte des pistes de réflexion proposées, le temps d’écriture personnelle et l’explicitation de sa réflexion.</w:t>
            </w:r>
          </w:p>
          <w:p w:rsidR="00251DEA" w:rsidRPr="0084780C" w:rsidRDefault="00251DEA" w:rsidP="00251DEA">
            <w:pPr>
              <w:pStyle w:val="PARA-tableau01"/>
            </w:pPr>
            <w:r w:rsidRPr="0084780C">
              <w:t>Le formateur et les autres stagiaires sont là pour questionner, faire préciser la pensée, donner des retours bienveillants qui aident la personne dans son parcours de formation tant au niveau des savoirs, des savoir-faire et des savoir-être.</w:t>
            </w:r>
          </w:p>
        </w:tc>
      </w:tr>
      <w:tr w:rsidR="00251DEA" w:rsidRPr="0084780C" w:rsidTr="00D64639">
        <w:tc>
          <w:tcPr>
            <w:tcW w:w="1668" w:type="dxa"/>
          </w:tcPr>
          <w:p w:rsidR="00251DEA" w:rsidRPr="00BA0C70" w:rsidRDefault="00251DEA" w:rsidP="00BA0C70">
            <w:pPr>
              <w:pStyle w:val="PARA-tableau01"/>
              <w:rPr>
                <w:b/>
              </w:rPr>
            </w:pPr>
            <w:r w:rsidRPr="00BA0C70">
              <w:rPr>
                <w:b/>
              </w:rPr>
              <w:t>Variantes</w:t>
            </w:r>
          </w:p>
        </w:tc>
        <w:tc>
          <w:tcPr>
            <w:tcW w:w="8079" w:type="dxa"/>
          </w:tcPr>
          <w:p w:rsidR="00251DEA" w:rsidRPr="0084780C" w:rsidRDefault="00251DEA" w:rsidP="00251DEA">
            <w:pPr>
              <w:pStyle w:val="PARA-tableau01"/>
            </w:pPr>
            <w:r w:rsidRPr="0084780C">
              <w:t>Pour éviter toute confusion avec une conception scolaire de l’évaluation, on peut nommer ces moments « regard sur ma formation » ou « parcours personnel de formation ».</w:t>
            </w:r>
          </w:p>
          <w:p w:rsidR="00251DEA" w:rsidRPr="0084780C" w:rsidRDefault="00251DEA" w:rsidP="00251DEA">
            <w:pPr>
              <w:pStyle w:val="PARA-tableau01"/>
            </w:pPr>
            <w:r w:rsidRPr="0084780C">
              <w:t>On peut proposer aux stagiaires de choisir leur groupe par inscription. Toutefois, il leur est précisé de faire des groupes hétérogènes et d’éviter d’être avec des personnes connues.</w:t>
            </w:r>
          </w:p>
        </w:tc>
      </w:tr>
      <w:tr w:rsidR="00251DEA" w:rsidRPr="0084780C" w:rsidTr="00D64639">
        <w:tc>
          <w:tcPr>
            <w:tcW w:w="1668" w:type="dxa"/>
          </w:tcPr>
          <w:p w:rsidR="00251DEA" w:rsidRPr="00BA0C70" w:rsidRDefault="00251DEA" w:rsidP="00BA0C70">
            <w:pPr>
              <w:pStyle w:val="PARA-tableau01"/>
              <w:rPr>
                <w:b/>
              </w:rPr>
            </w:pPr>
            <w:r w:rsidRPr="00BA0C70">
              <w:rPr>
                <w:b/>
              </w:rPr>
              <w:t>Qui anime</w:t>
            </w:r>
          </w:p>
        </w:tc>
        <w:tc>
          <w:tcPr>
            <w:tcW w:w="8079" w:type="dxa"/>
          </w:tcPr>
          <w:p w:rsidR="00251DEA" w:rsidRPr="0084780C" w:rsidRDefault="00251DEA" w:rsidP="00251DEA">
            <w:pPr>
              <w:pStyle w:val="PARA-tableau01"/>
            </w:pPr>
            <w:r w:rsidRPr="0084780C">
              <w:t xml:space="preserve">Les formateurs. On peut </w:t>
            </w:r>
            <w:proofErr w:type="spellStart"/>
            <w:r w:rsidRPr="0084780C">
              <w:t>co</w:t>
            </w:r>
            <w:proofErr w:type="spellEnd"/>
            <w:r w:rsidRPr="0084780C">
              <w:t xml:space="preserve">-animer. Il s’agit alors de bien préciser le rôle de chacun. </w:t>
            </w:r>
          </w:p>
        </w:tc>
      </w:tr>
      <w:tr w:rsidR="00251DEA" w:rsidRPr="0084780C" w:rsidTr="00D64639">
        <w:tc>
          <w:tcPr>
            <w:tcW w:w="1668" w:type="dxa"/>
          </w:tcPr>
          <w:p w:rsidR="00251DEA" w:rsidRPr="00BA0C70" w:rsidRDefault="00251DEA" w:rsidP="00BA0C70">
            <w:pPr>
              <w:pStyle w:val="PARA-tableau01"/>
              <w:rPr>
                <w:b/>
              </w:rPr>
            </w:pPr>
            <w:r w:rsidRPr="00BA0C70">
              <w:rPr>
                <w:b/>
              </w:rPr>
              <w:t>Conseils pour animer ce moment</w:t>
            </w:r>
          </w:p>
        </w:tc>
        <w:tc>
          <w:tcPr>
            <w:tcW w:w="8079" w:type="dxa"/>
          </w:tcPr>
          <w:p w:rsidR="00251DEA" w:rsidRPr="0084780C" w:rsidRDefault="00251DEA" w:rsidP="00251DEA">
            <w:pPr>
              <w:pStyle w:val="PARA-tableau01"/>
            </w:pPr>
            <w:r w:rsidRPr="0084780C">
              <w:t xml:space="preserve">Ce n’est pas une évaluation scolaire, c’est  important de bien le préciser aux stagiaires et de leur expliquer l’objectif visé. </w:t>
            </w:r>
          </w:p>
          <w:p w:rsidR="00251DEA" w:rsidRPr="0084780C" w:rsidRDefault="00251DEA" w:rsidP="00251DEA">
            <w:pPr>
              <w:pStyle w:val="PARA-tableau01"/>
            </w:pPr>
            <w:r w:rsidRPr="0084780C">
              <w:t>Ce travail d’autoévaluation est compliqué et inhabituel. Le formateur et le reste du sous-groupe sont là pour aider chacun à faire le cheminement le plus formateur pour lui.</w:t>
            </w:r>
          </w:p>
          <w:p w:rsidR="00251DEA" w:rsidRPr="0084780C" w:rsidRDefault="00251DEA" w:rsidP="00251DEA">
            <w:pPr>
              <w:pStyle w:val="PARA-tableau01"/>
            </w:pPr>
            <w:r w:rsidRPr="0084780C">
              <w:t>Le formateur est garant de la sécurité affective de chacun. La confidentialité des propos doit être assurée. Chaque prise de paroles doit être faite avec prudence, dans une relation d’aide.</w:t>
            </w:r>
          </w:p>
          <w:p w:rsidR="00251DEA" w:rsidRPr="0084780C" w:rsidRDefault="00251DEA" w:rsidP="00251DEA">
            <w:pPr>
              <w:pStyle w:val="PARA-tableau01"/>
            </w:pPr>
            <w:r w:rsidRPr="0084780C">
              <w:t>Il est important d’avoir le souci de garder cette évaluation autour de la formation et de prévenir les dérives d’autoanalyse sur la vie personnelle des stagiaires.</w:t>
            </w:r>
          </w:p>
          <w:p w:rsidR="00251DEA" w:rsidRPr="0084780C" w:rsidRDefault="00251DEA" w:rsidP="00251DEA">
            <w:pPr>
              <w:pStyle w:val="PARA-tableau01"/>
            </w:pPr>
            <w:r w:rsidRPr="0084780C">
              <w:t xml:space="preserve">Le formateur doit en même temps : écouter, entendre, prendre des notes, gérer le </w:t>
            </w:r>
            <w:r w:rsidRPr="0084780C">
              <w:lastRenderedPageBreak/>
              <w:t xml:space="preserve">temps et pousser les stagiaires dans leur analyse. Ce temps très important pour la formation est un exercice exigeant ; il faut être prudent quant à la décision d’animer ce moment quand on est jeune formateur. </w:t>
            </w:r>
          </w:p>
          <w:p w:rsidR="00251DEA" w:rsidRPr="0084780C" w:rsidRDefault="00251DEA" w:rsidP="00251DEA">
            <w:pPr>
              <w:pStyle w:val="PARA-tableau01"/>
            </w:pPr>
            <w:r w:rsidRPr="0084780C">
              <w:t>Les formateurs prennent des notes pour avoir une mémoire de ce qui a été dit. Avant chaque évaluation, l’équipe fait un point sur chaque stagiaire. Il est important qu’il y ait, pour chacun, des retours  faits au nom de l’équipe.</w:t>
            </w:r>
          </w:p>
        </w:tc>
      </w:tr>
    </w:tbl>
    <w:p w:rsidR="003C1793" w:rsidRPr="003C1793" w:rsidRDefault="003C1793" w:rsidP="007E4B71">
      <w:pPr>
        <w:pStyle w:val="TITREDOC01"/>
        <w:jc w:val="left"/>
        <w:rPr>
          <w:sz w:val="28"/>
        </w:rPr>
      </w:pPr>
      <w:bookmarkStart w:id="0" w:name="_GoBack"/>
      <w:bookmarkEnd w:id="0"/>
    </w:p>
    <w:sectPr w:rsidR="003C1793" w:rsidRPr="003C1793" w:rsidSect="00BE1B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216" w:rsidRDefault="00FC4216" w:rsidP="000C0925">
      <w:pPr>
        <w:spacing w:after="0" w:line="240" w:lineRule="auto"/>
      </w:pPr>
      <w:r>
        <w:separator/>
      </w:r>
    </w:p>
  </w:endnote>
  <w:endnote w:type="continuationSeparator" w:id="0">
    <w:p w:rsidR="00FC4216" w:rsidRDefault="00FC4216"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216" w:rsidRDefault="00FC4216" w:rsidP="000C0925">
      <w:pPr>
        <w:spacing w:after="0" w:line="240" w:lineRule="auto"/>
      </w:pPr>
      <w:r>
        <w:separator/>
      </w:r>
    </w:p>
  </w:footnote>
  <w:footnote w:type="continuationSeparator" w:id="0">
    <w:p w:rsidR="00FC4216" w:rsidRDefault="00FC4216"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606FB9">
      <w:fldChar w:fldCharType="begin"/>
    </w:r>
    <w:r w:rsidR="00606FB9">
      <w:instrText xml:space="preserve"> TIME \@ "dd/MM/yyyy" </w:instrText>
    </w:r>
    <w:r w:rsidR="00606FB9">
      <w:fldChar w:fldCharType="separate"/>
    </w:r>
    <w:r w:rsidR="00215E8F">
      <w:rPr>
        <w:noProof/>
      </w:rPr>
      <w:t>08/12/2017</w:t>
    </w:r>
    <w:r w:rsidR="00606FB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1E16"/>
    <w:multiLevelType w:val="hybridMultilevel"/>
    <w:tmpl w:val="DCDC7DB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Aria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Arial"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3" w15:restartNumberingAfterBreak="0">
    <w:nsid w:val="421034CE"/>
    <w:multiLevelType w:val="hybridMultilevel"/>
    <w:tmpl w:val="FDB000CE"/>
    <w:lvl w:ilvl="0" w:tplc="4E4E944E">
      <w:start w:val="1"/>
      <w:numFmt w:val="bullet"/>
      <w:lvlText w:val=""/>
      <w:lvlJc w:val="left"/>
      <w:pPr>
        <w:tabs>
          <w:tab w:val="num" w:pos="530"/>
        </w:tabs>
        <w:ind w:left="53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6"/>
  </w:num>
  <w:num w:numId="5">
    <w:abstractNumId w:val="2"/>
  </w:num>
  <w:num w:numId="6">
    <w:abstractNumId w:val="4"/>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266F5"/>
    <w:rsid w:val="0004277A"/>
    <w:rsid w:val="00061C49"/>
    <w:rsid w:val="0009266E"/>
    <w:rsid w:val="000A4C6C"/>
    <w:rsid w:val="000C06F3"/>
    <w:rsid w:val="000C0925"/>
    <w:rsid w:val="000C0F82"/>
    <w:rsid w:val="000D0490"/>
    <w:rsid w:val="00125BAA"/>
    <w:rsid w:val="00165330"/>
    <w:rsid w:val="00180CA0"/>
    <w:rsid w:val="00183055"/>
    <w:rsid w:val="001B5848"/>
    <w:rsid w:val="001E7B9C"/>
    <w:rsid w:val="0020473E"/>
    <w:rsid w:val="00215E8F"/>
    <w:rsid w:val="00221616"/>
    <w:rsid w:val="00251DEA"/>
    <w:rsid w:val="002605B7"/>
    <w:rsid w:val="00266547"/>
    <w:rsid w:val="002821DA"/>
    <w:rsid w:val="002850C4"/>
    <w:rsid w:val="002900B2"/>
    <w:rsid w:val="002B62E6"/>
    <w:rsid w:val="002E021B"/>
    <w:rsid w:val="00320E78"/>
    <w:rsid w:val="0034511D"/>
    <w:rsid w:val="003759B8"/>
    <w:rsid w:val="003C1793"/>
    <w:rsid w:val="003D71BE"/>
    <w:rsid w:val="003E2EA3"/>
    <w:rsid w:val="003E3D63"/>
    <w:rsid w:val="00415D6F"/>
    <w:rsid w:val="00432B95"/>
    <w:rsid w:val="00433149"/>
    <w:rsid w:val="00482421"/>
    <w:rsid w:val="004827F4"/>
    <w:rsid w:val="005014CA"/>
    <w:rsid w:val="00512A1F"/>
    <w:rsid w:val="00516519"/>
    <w:rsid w:val="00541591"/>
    <w:rsid w:val="0055257F"/>
    <w:rsid w:val="00556187"/>
    <w:rsid w:val="0056007A"/>
    <w:rsid w:val="00566BDD"/>
    <w:rsid w:val="005D1382"/>
    <w:rsid w:val="005D5CF4"/>
    <w:rsid w:val="005F5E8C"/>
    <w:rsid w:val="00606FB9"/>
    <w:rsid w:val="006701A5"/>
    <w:rsid w:val="0067670B"/>
    <w:rsid w:val="0067761E"/>
    <w:rsid w:val="00696362"/>
    <w:rsid w:val="006B0123"/>
    <w:rsid w:val="006D1C3A"/>
    <w:rsid w:val="006D79B3"/>
    <w:rsid w:val="006F5D6D"/>
    <w:rsid w:val="007203BE"/>
    <w:rsid w:val="00721AB0"/>
    <w:rsid w:val="00731947"/>
    <w:rsid w:val="007337C7"/>
    <w:rsid w:val="00766B58"/>
    <w:rsid w:val="0077182C"/>
    <w:rsid w:val="00784D44"/>
    <w:rsid w:val="007A0DBD"/>
    <w:rsid w:val="007B1F24"/>
    <w:rsid w:val="007C3929"/>
    <w:rsid w:val="007D0FF6"/>
    <w:rsid w:val="007E4B71"/>
    <w:rsid w:val="00803887"/>
    <w:rsid w:val="008170F4"/>
    <w:rsid w:val="008222DD"/>
    <w:rsid w:val="008442BB"/>
    <w:rsid w:val="00852BCB"/>
    <w:rsid w:val="00854906"/>
    <w:rsid w:val="0088114F"/>
    <w:rsid w:val="00895304"/>
    <w:rsid w:val="008B210E"/>
    <w:rsid w:val="008C4C8F"/>
    <w:rsid w:val="008E38C1"/>
    <w:rsid w:val="0092384F"/>
    <w:rsid w:val="009312FD"/>
    <w:rsid w:val="00952F16"/>
    <w:rsid w:val="00966A9F"/>
    <w:rsid w:val="0099415E"/>
    <w:rsid w:val="00A22A48"/>
    <w:rsid w:val="00A271FE"/>
    <w:rsid w:val="00A613EC"/>
    <w:rsid w:val="00AA2D7E"/>
    <w:rsid w:val="00AD28DE"/>
    <w:rsid w:val="00AF2984"/>
    <w:rsid w:val="00B118F4"/>
    <w:rsid w:val="00B2654C"/>
    <w:rsid w:val="00B27E45"/>
    <w:rsid w:val="00B716DF"/>
    <w:rsid w:val="00B73DDC"/>
    <w:rsid w:val="00B86F97"/>
    <w:rsid w:val="00BA0C70"/>
    <w:rsid w:val="00BC5162"/>
    <w:rsid w:val="00BE1BF2"/>
    <w:rsid w:val="00BE627E"/>
    <w:rsid w:val="00BF512D"/>
    <w:rsid w:val="00C0432F"/>
    <w:rsid w:val="00C5438F"/>
    <w:rsid w:val="00C61137"/>
    <w:rsid w:val="00C76C78"/>
    <w:rsid w:val="00C935A1"/>
    <w:rsid w:val="00C96E49"/>
    <w:rsid w:val="00CB652E"/>
    <w:rsid w:val="00CD0805"/>
    <w:rsid w:val="00CF49D6"/>
    <w:rsid w:val="00D21246"/>
    <w:rsid w:val="00D4415D"/>
    <w:rsid w:val="00D64639"/>
    <w:rsid w:val="00D972C0"/>
    <w:rsid w:val="00DC7485"/>
    <w:rsid w:val="00E330FF"/>
    <w:rsid w:val="00E51C64"/>
    <w:rsid w:val="00E71E16"/>
    <w:rsid w:val="00E92EB9"/>
    <w:rsid w:val="00EA2985"/>
    <w:rsid w:val="00EA58F2"/>
    <w:rsid w:val="00F5631E"/>
    <w:rsid w:val="00FB2695"/>
    <w:rsid w:val="00FC3359"/>
    <w:rsid w:val="00FC4216"/>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841446-F84A-4530-B2AF-8B68957B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B27E45"/>
    <w:pPr>
      <w:spacing w:before="120" w:after="120" w:line="240" w:lineRule="auto"/>
      <w:contextualSpacing/>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46</TotalTime>
  <Pages>2</Pages>
  <Words>474</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8</cp:revision>
  <cp:lastPrinted>2017-06-19T09:07:00Z</cp:lastPrinted>
  <dcterms:created xsi:type="dcterms:W3CDTF">2017-08-11T09:57:00Z</dcterms:created>
  <dcterms:modified xsi:type="dcterms:W3CDTF">2017-12-08T11:20:00Z</dcterms:modified>
</cp:coreProperties>
</file>