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BA0C70" w:rsidRDefault="005F5E8C" w:rsidP="00FC3359">
      <w:pPr>
        <w:pStyle w:val="TITRETexte01"/>
        <w:jc w:val="center"/>
      </w:pPr>
      <w:r w:rsidRPr="00BA0C70">
        <w:t>Démarche</w:t>
      </w:r>
    </w:p>
    <w:p w:rsidR="0004277A" w:rsidRPr="0004277A" w:rsidRDefault="0004277A" w:rsidP="0004277A">
      <w:pPr>
        <w:pStyle w:val="TITRETexte03"/>
        <w:ind w:left="720"/>
        <w:jc w:val="center"/>
        <w:rPr>
          <w:rFonts w:ascii="Frente H1" w:hAnsi="Frente H1"/>
          <w:sz w:val="36"/>
        </w:rPr>
      </w:pPr>
      <w:r w:rsidRPr="0004277A">
        <w:rPr>
          <w:rFonts w:ascii="Frente H1" w:hAnsi="Frente H1"/>
          <w:sz w:val="36"/>
        </w:rPr>
        <w:t>Le temps d’échanges et de documentation (BAFA) ou le temps de travail personnel et de documentation (BAFD)</w:t>
      </w:r>
    </w:p>
    <w:p w:rsidR="00BA0C70" w:rsidRDefault="00BA0C70" w:rsidP="00B716DF">
      <w:pPr>
        <w:pStyle w:val="TITRETexte03"/>
      </w:pPr>
    </w:p>
    <w:p w:rsidR="005F5E8C" w:rsidRPr="00AA2D7E" w:rsidRDefault="002E021B" w:rsidP="00B716DF">
      <w:pPr>
        <w:pStyle w:val="TITRETexte03"/>
      </w:pPr>
      <w:r>
        <w:t>Contexte/</w:t>
      </w:r>
      <w:r w:rsidR="005F5E8C" w:rsidRPr="00AA2D7E">
        <w:t xml:space="preserve">intention </w:t>
      </w:r>
      <w:r w:rsidR="00CB652E">
        <w:t>de création de</w:t>
      </w:r>
      <w:r w:rsidR="005F5E8C" w:rsidRPr="00AA2D7E">
        <w:t xml:space="preserve"> la démarche</w:t>
      </w:r>
    </w:p>
    <w:p w:rsidR="008C4C8F" w:rsidRPr="00BA0C70" w:rsidRDefault="00BA0C70" w:rsidP="00FC3359">
      <w:pPr>
        <w:pStyle w:val="PARA01"/>
      </w:pPr>
      <w:r w:rsidRPr="00BA0C70">
        <w:t>Stage BAFA et BAFD.</w:t>
      </w:r>
    </w:p>
    <w:tbl>
      <w:tblPr>
        <w:tblStyle w:val="Grilledutableau"/>
        <w:tblW w:w="0" w:type="auto"/>
        <w:tblLook w:val="04A0" w:firstRow="1" w:lastRow="0" w:firstColumn="1" w:lastColumn="0" w:noHBand="0" w:noVBand="1"/>
      </w:tblPr>
      <w:tblGrid>
        <w:gridCol w:w="9212"/>
      </w:tblGrid>
      <w:tr w:rsidR="00061C49" w:rsidTr="00061C49">
        <w:tc>
          <w:tcPr>
            <w:tcW w:w="9212" w:type="dxa"/>
            <w:tcBorders>
              <w:top w:val="nil"/>
              <w:left w:val="nil"/>
              <w:bottom w:val="nil"/>
              <w:right w:val="nil"/>
            </w:tcBorders>
          </w:tcPr>
          <w:p w:rsidR="00061C49" w:rsidRPr="00061C49" w:rsidRDefault="00061C49" w:rsidP="00061C49">
            <w:pPr>
              <w:pStyle w:val="PARA01"/>
            </w:pPr>
          </w:p>
        </w:tc>
      </w:tr>
    </w:tbl>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79"/>
      </w:tblGrid>
      <w:tr w:rsidR="0004277A" w:rsidRPr="0084780C" w:rsidTr="00D04D35">
        <w:tc>
          <w:tcPr>
            <w:tcW w:w="2448" w:type="dxa"/>
          </w:tcPr>
          <w:p w:rsidR="0004277A" w:rsidRPr="00BA0C70" w:rsidRDefault="0004277A" w:rsidP="00BA0C70">
            <w:pPr>
              <w:pStyle w:val="PARA-tableau01"/>
              <w:rPr>
                <w:b/>
              </w:rPr>
            </w:pPr>
            <w:r w:rsidRPr="00BA0C70">
              <w:rPr>
                <w:b/>
              </w:rPr>
              <w:t>Objectif(s)</w:t>
            </w:r>
          </w:p>
        </w:tc>
        <w:tc>
          <w:tcPr>
            <w:tcW w:w="6879" w:type="dxa"/>
          </w:tcPr>
          <w:p w:rsidR="0004277A" w:rsidRPr="0084780C" w:rsidRDefault="0004277A" w:rsidP="0004277A">
            <w:pPr>
              <w:pStyle w:val="PARA-tableau01"/>
            </w:pPr>
            <w:r w:rsidRPr="0084780C">
              <w:t>Il permet à chacun d’organiser son travail en fonction de ses priorités.</w:t>
            </w:r>
          </w:p>
          <w:p w:rsidR="0004277A" w:rsidRPr="0084780C" w:rsidRDefault="0004277A" w:rsidP="0004277A">
            <w:pPr>
              <w:pStyle w:val="PARA-tableau01"/>
            </w:pPr>
            <w:r w:rsidRPr="0084780C">
              <w:t>Il permet de s’arrêter, de poser sa réflexion, d’approfondir un point et d’aller à son rythme.</w:t>
            </w:r>
          </w:p>
          <w:p w:rsidR="0004277A" w:rsidRPr="0084780C" w:rsidRDefault="0004277A" w:rsidP="0004277A">
            <w:pPr>
              <w:pStyle w:val="PARA-tableau01"/>
            </w:pPr>
            <w:r w:rsidRPr="0084780C">
              <w:t>Il permet aux stagiaires, entre eux, de  découvrir un jeu, d’échanger et de partager sur les activités vécues (BAFA).</w:t>
            </w:r>
          </w:p>
          <w:p w:rsidR="0004277A" w:rsidRPr="0084780C" w:rsidRDefault="0004277A" w:rsidP="0004277A">
            <w:pPr>
              <w:pStyle w:val="PARA-tableau01"/>
            </w:pPr>
            <w:r w:rsidRPr="0084780C">
              <w:t>Il permet de se constituer un outil ressource, (listing et règles de jeux, paroles de chansons, etc.).</w:t>
            </w:r>
          </w:p>
          <w:p w:rsidR="0004277A" w:rsidRPr="0084780C" w:rsidRDefault="0004277A" w:rsidP="0004277A">
            <w:pPr>
              <w:pStyle w:val="PARA-tableau01"/>
            </w:pPr>
            <w:r w:rsidRPr="0084780C">
              <w:t>Il permet de poursuivre son projet de direction  et de porter une réflexion sur le projet pédagogique (BAFD).</w:t>
            </w:r>
          </w:p>
          <w:p w:rsidR="0004277A" w:rsidRPr="0084780C" w:rsidRDefault="0004277A" w:rsidP="0004277A">
            <w:pPr>
              <w:pStyle w:val="PARA-tableau01"/>
            </w:pPr>
            <w:r w:rsidRPr="0084780C">
              <w:t xml:space="preserve">C’est aussi un temps qui permet un accompagnement plus personnalisé des stagiaires. </w:t>
            </w:r>
          </w:p>
        </w:tc>
      </w:tr>
      <w:tr w:rsidR="0004277A" w:rsidRPr="0084780C" w:rsidTr="00D04D35">
        <w:tc>
          <w:tcPr>
            <w:tcW w:w="2448" w:type="dxa"/>
          </w:tcPr>
          <w:p w:rsidR="0004277A" w:rsidRPr="00BA0C70" w:rsidRDefault="0004277A" w:rsidP="00BA0C70">
            <w:pPr>
              <w:pStyle w:val="PARA-tableau01"/>
              <w:rPr>
                <w:b/>
              </w:rPr>
            </w:pPr>
            <w:r w:rsidRPr="00BA0C70">
              <w:rPr>
                <w:b/>
              </w:rPr>
              <w:t>Type de groupe</w:t>
            </w:r>
          </w:p>
        </w:tc>
        <w:tc>
          <w:tcPr>
            <w:tcW w:w="6879" w:type="dxa"/>
          </w:tcPr>
          <w:p w:rsidR="0004277A" w:rsidRPr="0084780C" w:rsidRDefault="0004277A" w:rsidP="0004277A">
            <w:pPr>
              <w:pStyle w:val="PARA-tableau01"/>
            </w:pPr>
            <w:r w:rsidRPr="0084780C">
              <w:t>Individuel ou en petits groupes</w:t>
            </w:r>
          </w:p>
        </w:tc>
      </w:tr>
      <w:tr w:rsidR="0004277A" w:rsidRPr="0084780C" w:rsidTr="00D04D35">
        <w:tc>
          <w:tcPr>
            <w:tcW w:w="2448" w:type="dxa"/>
          </w:tcPr>
          <w:p w:rsidR="0004277A" w:rsidRPr="00BA0C70" w:rsidRDefault="0004277A" w:rsidP="00BA0C70">
            <w:pPr>
              <w:pStyle w:val="PARA-tableau01"/>
              <w:rPr>
                <w:b/>
              </w:rPr>
            </w:pPr>
            <w:r w:rsidRPr="00BA0C70">
              <w:rPr>
                <w:b/>
              </w:rPr>
              <w:t>Fréquence</w:t>
            </w:r>
          </w:p>
        </w:tc>
        <w:tc>
          <w:tcPr>
            <w:tcW w:w="6879" w:type="dxa"/>
          </w:tcPr>
          <w:p w:rsidR="0004277A" w:rsidRPr="0084780C" w:rsidRDefault="0004277A" w:rsidP="0004277A">
            <w:pPr>
              <w:pStyle w:val="PARA-tableau01"/>
            </w:pPr>
            <w:r w:rsidRPr="0084780C">
              <w:t>2 à 3 fois durant le stage</w:t>
            </w:r>
          </w:p>
        </w:tc>
      </w:tr>
      <w:tr w:rsidR="0004277A" w:rsidRPr="0084780C" w:rsidTr="00D04D35">
        <w:tc>
          <w:tcPr>
            <w:tcW w:w="2448" w:type="dxa"/>
          </w:tcPr>
          <w:p w:rsidR="0004277A" w:rsidRPr="00BA0C70" w:rsidRDefault="0004277A" w:rsidP="00BA0C70">
            <w:pPr>
              <w:pStyle w:val="PARA-tableau01"/>
              <w:rPr>
                <w:b/>
              </w:rPr>
            </w:pPr>
            <w:r w:rsidRPr="00BA0C70">
              <w:rPr>
                <w:b/>
              </w:rPr>
              <w:t>Durée</w:t>
            </w:r>
          </w:p>
        </w:tc>
        <w:tc>
          <w:tcPr>
            <w:tcW w:w="6879" w:type="dxa"/>
          </w:tcPr>
          <w:p w:rsidR="0004277A" w:rsidRPr="0084780C" w:rsidRDefault="0004277A" w:rsidP="0004277A">
            <w:pPr>
              <w:pStyle w:val="PARA-tableau01"/>
            </w:pPr>
            <w:r w:rsidRPr="0084780C">
              <w:t>1 heure à 1heure 30</w:t>
            </w:r>
          </w:p>
        </w:tc>
      </w:tr>
      <w:tr w:rsidR="0004277A" w:rsidRPr="0084780C" w:rsidTr="00D04D35">
        <w:tc>
          <w:tcPr>
            <w:tcW w:w="2448" w:type="dxa"/>
          </w:tcPr>
          <w:p w:rsidR="0004277A" w:rsidRPr="00BA0C70" w:rsidRDefault="0004277A" w:rsidP="00BA0C70">
            <w:pPr>
              <w:pStyle w:val="PARA-tableau01"/>
              <w:rPr>
                <w:b/>
              </w:rPr>
            </w:pPr>
            <w:r w:rsidRPr="00BA0C70">
              <w:rPr>
                <w:b/>
              </w:rPr>
              <w:t>Moment</w:t>
            </w:r>
          </w:p>
        </w:tc>
        <w:tc>
          <w:tcPr>
            <w:tcW w:w="6879" w:type="dxa"/>
          </w:tcPr>
          <w:p w:rsidR="0004277A" w:rsidRPr="0084780C" w:rsidRDefault="0004277A" w:rsidP="0004277A">
            <w:pPr>
              <w:pStyle w:val="PARA-tableau01"/>
            </w:pPr>
          </w:p>
        </w:tc>
      </w:tr>
      <w:tr w:rsidR="0004277A" w:rsidRPr="0084780C" w:rsidTr="00D04D35">
        <w:tc>
          <w:tcPr>
            <w:tcW w:w="2448" w:type="dxa"/>
          </w:tcPr>
          <w:p w:rsidR="0004277A" w:rsidRPr="00BA0C70" w:rsidRDefault="0004277A" w:rsidP="00BA0C70">
            <w:pPr>
              <w:pStyle w:val="PARA-tableau01"/>
              <w:rPr>
                <w:b/>
              </w:rPr>
            </w:pPr>
            <w:r w:rsidRPr="00BA0C70">
              <w:rPr>
                <w:b/>
              </w:rPr>
              <w:t>Descriptif</w:t>
            </w:r>
          </w:p>
        </w:tc>
        <w:tc>
          <w:tcPr>
            <w:tcW w:w="6879" w:type="dxa"/>
          </w:tcPr>
          <w:p w:rsidR="0004277A" w:rsidRPr="0084780C" w:rsidRDefault="0004277A" w:rsidP="0004277A">
            <w:pPr>
              <w:pStyle w:val="PARA-tableau01"/>
            </w:pPr>
            <w:r w:rsidRPr="0084780C">
              <w:t>Ce temps peut être l’occasion de :</w:t>
            </w:r>
          </w:p>
          <w:p w:rsidR="0004277A" w:rsidRPr="0084780C" w:rsidRDefault="0004277A" w:rsidP="0004277A">
            <w:pPr>
              <w:pStyle w:val="LISTE02"/>
            </w:pPr>
            <w:r w:rsidRPr="0084780C">
              <w:t>relire, trier, classer, reprendre des notes ou des documents.</w:t>
            </w:r>
          </w:p>
          <w:p w:rsidR="0004277A" w:rsidRPr="0084780C" w:rsidRDefault="0004277A" w:rsidP="0004277A">
            <w:pPr>
              <w:pStyle w:val="LISTE02"/>
            </w:pPr>
            <w:r w:rsidRPr="0084780C">
              <w:t>poursuivre une réflexion sur une thématique travaillée durant un temps de formation.</w:t>
            </w:r>
          </w:p>
          <w:p w:rsidR="0004277A" w:rsidRPr="0084780C" w:rsidRDefault="0004277A" w:rsidP="0004277A">
            <w:pPr>
              <w:pStyle w:val="LISTE02"/>
            </w:pPr>
            <w:r w:rsidRPr="0084780C">
              <w:t>découvrir la documentation disponible pour feuilleter, prendre des références bibliographiques.</w:t>
            </w:r>
          </w:p>
          <w:p w:rsidR="0004277A" w:rsidRPr="0084780C" w:rsidRDefault="0004277A" w:rsidP="0004277A">
            <w:pPr>
              <w:pStyle w:val="LISTE02"/>
            </w:pPr>
            <w:r w:rsidRPr="0084780C">
              <w:t>se donner un objet de recherche correspondant à une préoccupation personnelle et trouver des éléments de réponses dans les documents disponibles.</w:t>
            </w:r>
          </w:p>
          <w:p w:rsidR="0004277A" w:rsidRPr="0084780C" w:rsidRDefault="0004277A" w:rsidP="0004277A">
            <w:pPr>
              <w:pStyle w:val="LISTE02"/>
            </w:pPr>
            <w:r w:rsidRPr="0084780C">
              <w:t>visionner une cassette et échanger des points de vue.</w:t>
            </w:r>
          </w:p>
          <w:p w:rsidR="0004277A" w:rsidRPr="0084780C" w:rsidRDefault="0004277A" w:rsidP="0004277A">
            <w:pPr>
              <w:pStyle w:val="LISTE02"/>
            </w:pPr>
            <w:r w:rsidRPr="0084780C">
              <w:t>bénéficier d’un petit temps de formation.</w:t>
            </w:r>
          </w:p>
          <w:p w:rsidR="0004277A" w:rsidRPr="0084780C" w:rsidRDefault="0004277A" w:rsidP="0004277A">
            <w:pPr>
              <w:pStyle w:val="LISTE02"/>
            </w:pPr>
            <w:r w:rsidRPr="0084780C">
              <w:t>Il est important que les documents soient variés et adaptés aux compétences différentes des lecteurs (ouvrages théoriques, revues, articles, compte-rendu d’expérience, cassettes vidéo, albums jeunesse, etc.).</w:t>
            </w:r>
          </w:p>
        </w:tc>
      </w:tr>
      <w:tr w:rsidR="0004277A" w:rsidRPr="0084780C" w:rsidTr="00D04D35">
        <w:tc>
          <w:tcPr>
            <w:tcW w:w="2448" w:type="dxa"/>
          </w:tcPr>
          <w:p w:rsidR="0004277A" w:rsidRPr="00BA0C70" w:rsidRDefault="0004277A" w:rsidP="00BA0C70">
            <w:pPr>
              <w:pStyle w:val="PARA-tableau01"/>
              <w:rPr>
                <w:b/>
              </w:rPr>
            </w:pPr>
            <w:r w:rsidRPr="00BA0C70">
              <w:rPr>
                <w:b/>
              </w:rPr>
              <w:t>Variantes</w:t>
            </w:r>
          </w:p>
        </w:tc>
        <w:tc>
          <w:tcPr>
            <w:tcW w:w="6879" w:type="dxa"/>
          </w:tcPr>
          <w:p w:rsidR="0004277A" w:rsidRPr="0084780C" w:rsidRDefault="0004277A" w:rsidP="0004277A">
            <w:pPr>
              <w:pStyle w:val="PARA-tableau01"/>
            </w:pPr>
            <w:r w:rsidRPr="0084780C">
              <w:t>Sur les formations BAFA il peut aussi exister des temps courts d’échange et de documentation directement après le temps de formation.</w:t>
            </w:r>
          </w:p>
        </w:tc>
      </w:tr>
      <w:tr w:rsidR="0004277A" w:rsidRPr="0084780C" w:rsidTr="00D04D35">
        <w:tc>
          <w:tcPr>
            <w:tcW w:w="2448" w:type="dxa"/>
          </w:tcPr>
          <w:p w:rsidR="0004277A" w:rsidRPr="00BA0C70" w:rsidRDefault="0004277A" w:rsidP="00BA0C70">
            <w:pPr>
              <w:pStyle w:val="PARA-tableau01"/>
              <w:rPr>
                <w:b/>
              </w:rPr>
            </w:pPr>
            <w:r w:rsidRPr="00BA0C70">
              <w:rPr>
                <w:b/>
              </w:rPr>
              <w:t>Qui anime</w:t>
            </w:r>
          </w:p>
        </w:tc>
        <w:tc>
          <w:tcPr>
            <w:tcW w:w="6879" w:type="dxa"/>
          </w:tcPr>
          <w:p w:rsidR="0004277A" w:rsidRPr="0084780C" w:rsidRDefault="0004277A" w:rsidP="0004277A">
            <w:pPr>
              <w:pStyle w:val="PARA-tableau01"/>
            </w:pPr>
            <w:r w:rsidRPr="0084780C">
              <w:t xml:space="preserve">C’est un temps en autonomie. Toutefois, les formateurs sont présents et </w:t>
            </w:r>
            <w:r w:rsidRPr="0084780C">
              <w:lastRenderedPageBreak/>
              <w:t>disponibles.</w:t>
            </w:r>
          </w:p>
        </w:tc>
      </w:tr>
      <w:tr w:rsidR="0004277A" w:rsidRPr="0084780C" w:rsidTr="00D04D35">
        <w:tc>
          <w:tcPr>
            <w:tcW w:w="2448" w:type="dxa"/>
          </w:tcPr>
          <w:p w:rsidR="0004277A" w:rsidRPr="00BA0C70" w:rsidRDefault="0004277A" w:rsidP="00BA0C70">
            <w:pPr>
              <w:pStyle w:val="PARA-tableau01"/>
              <w:rPr>
                <w:b/>
              </w:rPr>
            </w:pPr>
            <w:r w:rsidRPr="00BA0C70">
              <w:rPr>
                <w:b/>
              </w:rPr>
              <w:lastRenderedPageBreak/>
              <w:t>Conseils pour animer ce moment</w:t>
            </w:r>
          </w:p>
        </w:tc>
        <w:tc>
          <w:tcPr>
            <w:tcW w:w="6879" w:type="dxa"/>
          </w:tcPr>
          <w:p w:rsidR="0004277A" w:rsidRPr="0084780C" w:rsidRDefault="0004277A" w:rsidP="0004277A">
            <w:pPr>
              <w:pStyle w:val="PARA-tableau01"/>
            </w:pPr>
            <w:r w:rsidRPr="0084780C">
              <w:t xml:space="preserve">Les formateurs sont là pour donner le cadre du travail et pour accompagner des demandes individuelles </w:t>
            </w:r>
            <w:r w:rsidRPr="00EC30B7">
              <w:rPr>
                <w:i/>
              </w:rPr>
              <w:t>(Exemple : ce que contient une trousse de 1</w:t>
            </w:r>
            <w:r w:rsidRPr="00EC30B7">
              <w:rPr>
                <w:i/>
                <w:vertAlign w:val="superscript"/>
              </w:rPr>
              <w:t>er</w:t>
            </w:r>
            <w:r w:rsidRPr="00EC30B7">
              <w:rPr>
                <w:i/>
              </w:rPr>
              <w:t xml:space="preserve"> secours, ce qu’on doit faire en cas d’accident).</w:t>
            </w:r>
          </w:p>
          <w:p w:rsidR="0004277A" w:rsidRPr="0084780C" w:rsidRDefault="0004277A" w:rsidP="0004277A">
            <w:pPr>
              <w:pStyle w:val="PARA-tableau01"/>
            </w:pPr>
            <w:r w:rsidRPr="0084780C">
              <w:t>On peut aider les stagiaires à bien utiliser ce moment en mettant en place un tableau où chacun inscrit son objet de travail. Ce tableau permet aussi de mutualiser les productions et de travailler en complémentarité. Il est possible également de donner un cadre en affichant des pistes de travail possible lors de ce temps.</w:t>
            </w:r>
          </w:p>
          <w:p w:rsidR="0004277A" w:rsidRPr="0084780C" w:rsidRDefault="0004277A" w:rsidP="0004277A">
            <w:pPr>
              <w:pStyle w:val="PARA-tableau01"/>
            </w:pPr>
            <w:r w:rsidRPr="0084780C">
              <w:t>Attention certains groupes n’ont pas encore conscience de l’importance de se documenter (BAFA1). Les formateurs doivent être à l’écoute et vigilants pour permettre à chacun d’entrer dans ce moment de formation.</w:t>
            </w:r>
          </w:p>
        </w:tc>
      </w:tr>
    </w:tbl>
    <w:p w:rsidR="00320E78" w:rsidRDefault="00320E78" w:rsidP="00822DB6">
      <w:pPr>
        <w:pStyle w:val="TITRETexte01"/>
      </w:pPr>
      <w:bookmarkStart w:id="0" w:name="_GoBack"/>
      <w:bookmarkEnd w:id="0"/>
    </w:p>
    <w:sectPr w:rsidR="00320E78" w:rsidSect="00822DB6">
      <w:headerReference w:type="default" r:id="rId7"/>
      <w:type w:val="continuous"/>
      <w:pgSz w:w="11906" w:h="16838"/>
      <w:pgMar w:top="1560" w:right="1417" w:bottom="141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7BD" w:rsidRDefault="000627BD" w:rsidP="000C0925">
      <w:pPr>
        <w:spacing w:after="0" w:line="240" w:lineRule="auto"/>
      </w:pPr>
      <w:r>
        <w:separator/>
      </w:r>
    </w:p>
  </w:endnote>
  <w:endnote w:type="continuationSeparator" w:id="0">
    <w:p w:rsidR="000627BD" w:rsidRDefault="000627BD"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7BD" w:rsidRDefault="000627BD" w:rsidP="000C0925">
      <w:pPr>
        <w:spacing w:after="0" w:line="240" w:lineRule="auto"/>
      </w:pPr>
      <w:r>
        <w:separator/>
      </w:r>
    </w:p>
  </w:footnote>
  <w:footnote w:type="continuationSeparator" w:id="0">
    <w:p w:rsidR="000627BD" w:rsidRDefault="000627BD"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617D59">
      <w:fldChar w:fldCharType="begin"/>
    </w:r>
    <w:r w:rsidR="00617D59">
      <w:instrText xml:space="preserve"> TIME \@ "dd/MM/yyyy" </w:instrText>
    </w:r>
    <w:r w:rsidR="00617D59">
      <w:fldChar w:fldCharType="separate"/>
    </w:r>
    <w:r w:rsidR="00822DB6">
      <w:rPr>
        <w:noProof/>
      </w:rPr>
      <w:t>08/12/2017</w:t>
    </w:r>
    <w:r w:rsidR="00617D5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421034CE"/>
    <w:multiLevelType w:val="hybridMultilevel"/>
    <w:tmpl w:val="FDB000CE"/>
    <w:lvl w:ilvl="0" w:tplc="4E4E944E">
      <w:start w:val="1"/>
      <w:numFmt w:val="bullet"/>
      <w:lvlText w:val=""/>
      <w:lvlJc w:val="left"/>
      <w:pPr>
        <w:tabs>
          <w:tab w:val="num" w:pos="530"/>
        </w:tabs>
        <w:ind w:left="53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2B5951"/>
    <w:multiLevelType w:val="hybridMultilevel"/>
    <w:tmpl w:val="F340873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5"/>
  </w:num>
  <w:num w:numId="5">
    <w:abstractNumId w:val="1"/>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547"/>
    <w:rsid w:val="000266F5"/>
    <w:rsid w:val="0004277A"/>
    <w:rsid w:val="00061C49"/>
    <w:rsid w:val="000627BD"/>
    <w:rsid w:val="0009266E"/>
    <w:rsid w:val="000A4C6C"/>
    <w:rsid w:val="000C06F3"/>
    <w:rsid w:val="000C0925"/>
    <w:rsid w:val="000C0F82"/>
    <w:rsid w:val="00125BAA"/>
    <w:rsid w:val="00165330"/>
    <w:rsid w:val="00180CA0"/>
    <w:rsid w:val="00183055"/>
    <w:rsid w:val="001B5848"/>
    <w:rsid w:val="001E7B9C"/>
    <w:rsid w:val="0020473E"/>
    <w:rsid w:val="00221616"/>
    <w:rsid w:val="002605B7"/>
    <w:rsid w:val="00266547"/>
    <w:rsid w:val="002821DA"/>
    <w:rsid w:val="002850C4"/>
    <w:rsid w:val="002900B2"/>
    <w:rsid w:val="002B62E6"/>
    <w:rsid w:val="002E021B"/>
    <w:rsid w:val="00320E78"/>
    <w:rsid w:val="003759B8"/>
    <w:rsid w:val="003C1793"/>
    <w:rsid w:val="003D71BE"/>
    <w:rsid w:val="003E2EA3"/>
    <w:rsid w:val="003E3D63"/>
    <w:rsid w:val="00415D6F"/>
    <w:rsid w:val="00432B95"/>
    <w:rsid w:val="00433149"/>
    <w:rsid w:val="00482421"/>
    <w:rsid w:val="004827F4"/>
    <w:rsid w:val="005014CA"/>
    <w:rsid w:val="00512A1F"/>
    <w:rsid w:val="00516519"/>
    <w:rsid w:val="00541591"/>
    <w:rsid w:val="0055257F"/>
    <w:rsid w:val="00556187"/>
    <w:rsid w:val="0056007A"/>
    <w:rsid w:val="00566BDD"/>
    <w:rsid w:val="005D1382"/>
    <w:rsid w:val="005D5CF4"/>
    <w:rsid w:val="005F5E8C"/>
    <w:rsid w:val="00617D59"/>
    <w:rsid w:val="006701A5"/>
    <w:rsid w:val="0067670B"/>
    <w:rsid w:val="0067761E"/>
    <w:rsid w:val="00696362"/>
    <w:rsid w:val="006B0123"/>
    <w:rsid w:val="006D1C3A"/>
    <w:rsid w:val="006D79B3"/>
    <w:rsid w:val="006F0EAF"/>
    <w:rsid w:val="007203BE"/>
    <w:rsid w:val="00731947"/>
    <w:rsid w:val="007337C7"/>
    <w:rsid w:val="00766B58"/>
    <w:rsid w:val="0077182C"/>
    <w:rsid w:val="00784D44"/>
    <w:rsid w:val="007A0DBD"/>
    <w:rsid w:val="007B1F24"/>
    <w:rsid w:val="007D0FF6"/>
    <w:rsid w:val="00803887"/>
    <w:rsid w:val="008170F4"/>
    <w:rsid w:val="008222DD"/>
    <w:rsid w:val="00822DB6"/>
    <w:rsid w:val="008442BB"/>
    <w:rsid w:val="00852BCB"/>
    <w:rsid w:val="00854906"/>
    <w:rsid w:val="0088114F"/>
    <w:rsid w:val="008C4C8F"/>
    <w:rsid w:val="008E38C1"/>
    <w:rsid w:val="0092384F"/>
    <w:rsid w:val="009312FD"/>
    <w:rsid w:val="00952F16"/>
    <w:rsid w:val="00966A9F"/>
    <w:rsid w:val="00976C55"/>
    <w:rsid w:val="00982E83"/>
    <w:rsid w:val="0099415E"/>
    <w:rsid w:val="00A22A48"/>
    <w:rsid w:val="00A271FE"/>
    <w:rsid w:val="00A613EC"/>
    <w:rsid w:val="00AA2D7E"/>
    <w:rsid w:val="00AB7896"/>
    <w:rsid w:val="00AD28DE"/>
    <w:rsid w:val="00AF2984"/>
    <w:rsid w:val="00B118F4"/>
    <w:rsid w:val="00B2654C"/>
    <w:rsid w:val="00B716DF"/>
    <w:rsid w:val="00BA0C70"/>
    <w:rsid w:val="00BA1A9B"/>
    <w:rsid w:val="00BC5162"/>
    <w:rsid w:val="00BE1BF2"/>
    <w:rsid w:val="00BE627E"/>
    <w:rsid w:val="00BF512D"/>
    <w:rsid w:val="00C0432F"/>
    <w:rsid w:val="00C04791"/>
    <w:rsid w:val="00C5438F"/>
    <w:rsid w:val="00C61137"/>
    <w:rsid w:val="00C76C78"/>
    <w:rsid w:val="00C935A1"/>
    <w:rsid w:val="00C96E49"/>
    <w:rsid w:val="00CB652E"/>
    <w:rsid w:val="00CD0805"/>
    <w:rsid w:val="00CD0A20"/>
    <w:rsid w:val="00CF49D6"/>
    <w:rsid w:val="00D4415D"/>
    <w:rsid w:val="00DC7485"/>
    <w:rsid w:val="00E330FF"/>
    <w:rsid w:val="00E51C64"/>
    <w:rsid w:val="00E71E16"/>
    <w:rsid w:val="00E8098F"/>
    <w:rsid w:val="00E92EB9"/>
    <w:rsid w:val="00EA2985"/>
    <w:rsid w:val="00EA58F2"/>
    <w:rsid w:val="00EC30B7"/>
    <w:rsid w:val="00F5631E"/>
    <w:rsid w:val="00FB2695"/>
    <w:rsid w:val="00FC3359"/>
    <w:rsid w:val="00FC63AA"/>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A9C8F3-72CF-4A15-8175-88C9E818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uiPriority w:val="3"/>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Normal"/>
    <w:qFormat/>
    <w:rsid w:val="00852BCB"/>
    <w:pPr>
      <w:spacing w:line="240" w:lineRule="auto"/>
      <w:jc w:val="center"/>
    </w:pPr>
    <w:rPr>
      <w:rFonts w:ascii="Frente H1" w:hAnsi="Frente H1"/>
      <w:b/>
      <w:bCs/>
      <w:color w:val="05789B"/>
      <w:sz w:val="36"/>
    </w:rPr>
  </w:style>
  <w:style w:type="paragraph" w:customStyle="1" w:styleId="TITRETexte01">
    <w:name w:val="TITRE Texte 01"/>
    <w:basedOn w:val="Normal"/>
    <w:next w:val="PARA01"/>
    <w:uiPriority w:val="2"/>
    <w:qFormat/>
    <w:rsid w:val="00FC3359"/>
    <w:pPr>
      <w:spacing w:before="480" w:after="120" w:line="240" w:lineRule="auto"/>
    </w:pPr>
    <w:rPr>
      <w:rFonts w:ascii="Frente H1" w:hAnsi="Frente H1"/>
      <w:b/>
      <w:bCs/>
      <w:sz w:val="32"/>
    </w:rPr>
  </w:style>
  <w:style w:type="paragraph" w:styleId="En-tte">
    <w:name w:val="header"/>
    <w:basedOn w:val="Normal"/>
    <w:link w:val="En-tteCar"/>
    <w:uiPriority w:val="99"/>
    <w:semiHidden/>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C0925"/>
  </w:style>
  <w:style w:type="paragraph" w:customStyle="1" w:styleId="TITRETexte03">
    <w:name w:val="TITRE Texte 03"/>
    <w:basedOn w:val="PARA01"/>
    <w:uiPriority w:val="2"/>
    <w:qFormat/>
    <w:rsid w:val="00B716DF"/>
    <w:pPr>
      <w:spacing w:before="240"/>
    </w:pPr>
    <w:rPr>
      <w:b/>
      <w:color w:val="05789B"/>
      <w:sz w:val="24"/>
      <w:szCs w:val="24"/>
    </w:rPr>
  </w:style>
  <w:style w:type="paragraph" w:customStyle="1" w:styleId="PARA-tableau01">
    <w:name w:val="PARA-tableau 01"/>
    <w:basedOn w:val="Normal"/>
    <w:uiPriority w:val="3"/>
    <w:qFormat/>
    <w:rsid w:val="00EC30B7"/>
    <w:pPr>
      <w:spacing w:before="120" w:after="120" w:line="240" w:lineRule="auto"/>
      <w:contextualSpacing/>
    </w:pPr>
    <w:rPr>
      <w:rFonts w:ascii="Calibri Light" w:hAnsi="Calibri Light"/>
    </w:rPr>
  </w:style>
  <w:style w:type="character" w:styleId="Lienhypertexte">
    <w:name w:val="Hyperlink"/>
    <w:basedOn w:val="Policepardfaut"/>
    <w:uiPriority w:val="99"/>
    <w:unhideWhenUsed/>
    <w:rsid w:val="00BA0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MISSION\TRAMES%20de%20formalisation\Trame_fiche-d&#233;marche-num&#233;rique_ao&#251;t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Trame_fiche-démarche-numérique_août2017</Template>
  <TotalTime>3</TotalTime>
  <Pages>2</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9</cp:revision>
  <cp:lastPrinted>2017-06-19T09:07:00Z</cp:lastPrinted>
  <dcterms:created xsi:type="dcterms:W3CDTF">2017-08-11T09:53:00Z</dcterms:created>
  <dcterms:modified xsi:type="dcterms:W3CDTF">2017-12-08T11:20:00Z</dcterms:modified>
</cp:coreProperties>
</file>