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E8C" w:rsidRPr="00BA0C70" w:rsidRDefault="005F5E8C" w:rsidP="00FC3359">
      <w:pPr>
        <w:pStyle w:val="TITRETexte01"/>
        <w:jc w:val="center"/>
      </w:pPr>
      <w:r w:rsidRPr="00BA0C70">
        <w:t>Démarche</w:t>
      </w:r>
    </w:p>
    <w:p w:rsidR="005F5E8C" w:rsidRPr="0002174D" w:rsidRDefault="00BA0C70" w:rsidP="005F5E8C">
      <w:pPr>
        <w:pStyle w:val="TITREDOC01"/>
      </w:pPr>
      <w:r>
        <w:t>Point sur le stage</w:t>
      </w:r>
    </w:p>
    <w:p w:rsidR="00BA0C70" w:rsidRDefault="00BA0C70" w:rsidP="00B716DF">
      <w:pPr>
        <w:pStyle w:val="TITRETexte03"/>
      </w:pPr>
    </w:p>
    <w:p w:rsidR="005F5E8C" w:rsidRPr="00AA2D7E" w:rsidRDefault="002E021B" w:rsidP="00B716DF">
      <w:pPr>
        <w:pStyle w:val="TITRETexte03"/>
      </w:pPr>
      <w:r>
        <w:t>Contexte/</w:t>
      </w:r>
      <w:r w:rsidR="005F5E8C" w:rsidRPr="00AA2D7E">
        <w:t xml:space="preserve">intention </w:t>
      </w:r>
      <w:r w:rsidR="00CB652E">
        <w:t>de création de</w:t>
      </w:r>
      <w:r w:rsidR="005F5E8C" w:rsidRPr="00AA2D7E">
        <w:t xml:space="preserve"> la démarche</w:t>
      </w:r>
    </w:p>
    <w:p w:rsidR="008C4C8F" w:rsidRPr="00BA0C70" w:rsidRDefault="00BA0C70" w:rsidP="00FC3359">
      <w:pPr>
        <w:pStyle w:val="PARA01"/>
      </w:pPr>
      <w:r w:rsidRPr="00BA0C70">
        <w:t>Stage BAFA et BAFD.</w:t>
      </w:r>
    </w:p>
    <w:tbl>
      <w:tblPr>
        <w:tblStyle w:val="Grilledutableau"/>
        <w:tblW w:w="0" w:type="auto"/>
        <w:tblLook w:val="04A0" w:firstRow="1" w:lastRow="0" w:firstColumn="1" w:lastColumn="0" w:noHBand="0" w:noVBand="1"/>
      </w:tblPr>
      <w:tblGrid>
        <w:gridCol w:w="9212"/>
      </w:tblGrid>
      <w:tr w:rsidR="00061C49" w:rsidTr="00061C49">
        <w:tc>
          <w:tcPr>
            <w:tcW w:w="9212" w:type="dxa"/>
            <w:tcBorders>
              <w:top w:val="nil"/>
              <w:left w:val="nil"/>
              <w:bottom w:val="nil"/>
              <w:right w:val="nil"/>
            </w:tcBorders>
          </w:tcPr>
          <w:p w:rsidR="00061C49" w:rsidRPr="00061C49" w:rsidRDefault="00061C49" w:rsidP="00061C49">
            <w:pPr>
              <w:pStyle w:val="PARA01"/>
            </w:pPr>
          </w:p>
        </w:tc>
      </w:tr>
    </w:tbl>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879"/>
      </w:tblGrid>
      <w:tr w:rsidR="00BA0C70" w:rsidRPr="0084780C" w:rsidTr="00D04D35">
        <w:tc>
          <w:tcPr>
            <w:tcW w:w="2448" w:type="dxa"/>
          </w:tcPr>
          <w:p w:rsidR="00BA0C70" w:rsidRPr="00BA0C70" w:rsidRDefault="00BA0C70" w:rsidP="00BA0C70">
            <w:pPr>
              <w:pStyle w:val="PARA-tableau01"/>
              <w:rPr>
                <w:b/>
              </w:rPr>
            </w:pPr>
            <w:r w:rsidRPr="00BA0C70">
              <w:rPr>
                <w:b/>
              </w:rPr>
              <w:t>Objectif(s)</w:t>
            </w:r>
          </w:p>
        </w:tc>
        <w:tc>
          <w:tcPr>
            <w:tcW w:w="6879" w:type="dxa"/>
          </w:tcPr>
          <w:p w:rsidR="00BA0C70" w:rsidRPr="0084780C" w:rsidRDefault="00BA0C70" w:rsidP="00BA0C70">
            <w:pPr>
              <w:pStyle w:val="PARA-tableau01"/>
            </w:pPr>
            <w:r w:rsidRPr="0084780C">
              <w:t xml:space="preserve">Le point sur le stage permet à chacun, stagiaire ou formateur, d’exprimer un ressenti sur sa place dans le groupe stage et sur son vécu dans la collectivité. Il permet l’ouverture d’un sas de parole qui n’a pas vocation unique à régler des conflits mais il doit permettre que chacun puisse entendre la parole de l’autre et susciter des prises de conscience. </w:t>
            </w:r>
          </w:p>
          <w:p w:rsidR="00BA0C70" w:rsidRPr="0084780C" w:rsidRDefault="00BA0C70" w:rsidP="00BA0C70">
            <w:pPr>
              <w:pStyle w:val="PARA-tableau01"/>
            </w:pPr>
            <w:r w:rsidRPr="0084780C">
              <w:t>Il peut permettre de faire émerger des conflits), d’en prendre conscience et donne la possibilité de les gérer.</w:t>
            </w:r>
          </w:p>
        </w:tc>
      </w:tr>
      <w:tr w:rsidR="00BA0C70" w:rsidRPr="0084780C" w:rsidTr="00D04D35">
        <w:tc>
          <w:tcPr>
            <w:tcW w:w="2448" w:type="dxa"/>
          </w:tcPr>
          <w:p w:rsidR="00BA0C70" w:rsidRPr="00BA0C70" w:rsidRDefault="00BA0C70" w:rsidP="00BA0C70">
            <w:pPr>
              <w:pStyle w:val="PARA-tableau01"/>
              <w:rPr>
                <w:b/>
              </w:rPr>
            </w:pPr>
            <w:r w:rsidRPr="00BA0C70">
              <w:rPr>
                <w:b/>
              </w:rPr>
              <w:t>Type de groupe</w:t>
            </w:r>
          </w:p>
        </w:tc>
        <w:tc>
          <w:tcPr>
            <w:tcW w:w="6879" w:type="dxa"/>
          </w:tcPr>
          <w:p w:rsidR="00BA0C70" w:rsidRPr="0084780C" w:rsidRDefault="00BA0C70" w:rsidP="00BA0C70">
            <w:pPr>
              <w:pStyle w:val="PARA-tableau01"/>
            </w:pPr>
            <w:r w:rsidRPr="0084780C">
              <w:t>Collectif</w:t>
            </w:r>
          </w:p>
        </w:tc>
      </w:tr>
      <w:tr w:rsidR="00BA0C70" w:rsidRPr="0084780C" w:rsidTr="00D04D35">
        <w:tc>
          <w:tcPr>
            <w:tcW w:w="2448" w:type="dxa"/>
          </w:tcPr>
          <w:p w:rsidR="00BA0C70" w:rsidRPr="00BA0C70" w:rsidRDefault="00BA0C70" w:rsidP="00BA0C70">
            <w:pPr>
              <w:pStyle w:val="PARA-tableau01"/>
              <w:rPr>
                <w:b/>
              </w:rPr>
            </w:pPr>
            <w:r w:rsidRPr="00BA0C70">
              <w:rPr>
                <w:b/>
              </w:rPr>
              <w:t>Fréquence</w:t>
            </w:r>
          </w:p>
        </w:tc>
        <w:tc>
          <w:tcPr>
            <w:tcW w:w="6879" w:type="dxa"/>
          </w:tcPr>
          <w:p w:rsidR="00BA0C70" w:rsidRPr="0084780C" w:rsidRDefault="00BA0C70" w:rsidP="00BA0C70">
            <w:pPr>
              <w:pStyle w:val="PARA-tableau01"/>
            </w:pPr>
            <w:r w:rsidRPr="0084780C">
              <w:t>Tous les jours ou tous les 2 à 3 jours</w:t>
            </w:r>
          </w:p>
        </w:tc>
      </w:tr>
      <w:tr w:rsidR="00BA0C70" w:rsidRPr="0084780C" w:rsidTr="00D04D35">
        <w:tc>
          <w:tcPr>
            <w:tcW w:w="2448" w:type="dxa"/>
          </w:tcPr>
          <w:p w:rsidR="00BA0C70" w:rsidRPr="00BA0C70" w:rsidRDefault="00BA0C70" w:rsidP="00BA0C70">
            <w:pPr>
              <w:pStyle w:val="PARA-tableau01"/>
              <w:rPr>
                <w:b/>
              </w:rPr>
            </w:pPr>
            <w:r w:rsidRPr="00BA0C70">
              <w:rPr>
                <w:b/>
              </w:rPr>
              <w:t>Durée</w:t>
            </w:r>
          </w:p>
        </w:tc>
        <w:tc>
          <w:tcPr>
            <w:tcW w:w="6879" w:type="dxa"/>
          </w:tcPr>
          <w:p w:rsidR="00BA0C70" w:rsidRPr="0084780C" w:rsidRDefault="00BA0C70" w:rsidP="00BA0C70">
            <w:pPr>
              <w:pStyle w:val="PARA-tableau01"/>
            </w:pPr>
            <w:r w:rsidRPr="0084780C">
              <w:t>15 à 30 minutes</w:t>
            </w:r>
          </w:p>
        </w:tc>
      </w:tr>
      <w:tr w:rsidR="00BA0C70" w:rsidRPr="0084780C" w:rsidTr="00D04D35">
        <w:tc>
          <w:tcPr>
            <w:tcW w:w="2448" w:type="dxa"/>
          </w:tcPr>
          <w:p w:rsidR="00BA0C70" w:rsidRPr="00BA0C70" w:rsidRDefault="00BA0C70" w:rsidP="00BA0C70">
            <w:pPr>
              <w:pStyle w:val="PARA-tableau01"/>
              <w:rPr>
                <w:b/>
              </w:rPr>
            </w:pPr>
            <w:r w:rsidRPr="00BA0C70">
              <w:rPr>
                <w:b/>
              </w:rPr>
              <w:t>Moment</w:t>
            </w:r>
          </w:p>
        </w:tc>
        <w:tc>
          <w:tcPr>
            <w:tcW w:w="6879" w:type="dxa"/>
          </w:tcPr>
          <w:p w:rsidR="00BA0C70" w:rsidRPr="0084780C" w:rsidRDefault="00BA0C70" w:rsidP="00BA0C70">
            <w:pPr>
              <w:pStyle w:val="PARA-tableau01"/>
            </w:pPr>
            <w:r w:rsidRPr="0084780C">
              <w:t xml:space="preserve">Ce moment de point sur le stage doit être ritualisé pour d’une part permettre aux stagiaires d’avoir un temps repéré et rassurant (il est formalisé sur la grille, par exemple chaque jour avant midi pour permettre aux émotions de se poser) et d’autre part pour qu’il devienne un temps de formation personnelle. </w:t>
            </w:r>
          </w:p>
          <w:p w:rsidR="00BA0C70" w:rsidRPr="0084780C" w:rsidRDefault="00BA0C70" w:rsidP="00BA0C70">
            <w:pPr>
              <w:pStyle w:val="PARA-tableau01"/>
            </w:pPr>
            <w:r w:rsidRPr="0084780C">
              <w:t>Cette régularité permet de gérer le temps de parole. Il n’est donc pas nécessaire d’en rajouter en cas de situations problématiques.</w:t>
            </w:r>
          </w:p>
        </w:tc>
      </w:tr>
      <w:tr w:rsidR="00BA0C70" w:rsidRPr="0084780C" w:rsidTr="00D04D35">
        <w:tc>
          <w:tcPr>
            <w:tcW w:w="2448" w:type="dxa"/>
          </w:tcPr>
          <w:p w:rsidR="00BA0C70" w:rsidRPr="00BA0C70" w:rsidRDefault="00BA0C70" w:rsidP="00BA0C70">
            <w:pPr>
              <w:pStyle w:val="PARA-tableau01"/>
              <w:rPr>
                <w:b/>
              </w:rPr>
            </w:pPr>
            <w:r w:rsidRPr="00BA0C70">
              <w:rPr>
                <w:b/>
              </w:rPr>
              <w:t>Descriptif</w:t>
            </w:r>
          </w:p>
        </w:tc>
        <w:tc>
          <w:tcPr>
            <w:tcW w:w="6879" w:type="dxa"/>
          </w:tcPr>
          <w:p w:rsidR="00BA0C70" w:rsidRPr="0084780C" w:rsidRDefault="00BA0C70" w:rsidP="00BA0C70">
            <w:pPr>
              <w:pStyle w:val="PARA-tableau01"/>
            </w:pPr>
            <w:r w:rsidRPr="0084780C">
              <w:t xml:space="preserve">C’est un temps où on se pose pour réfléchir ensemble sur ce que vit le groupe. Les prises de paroles sont personnelles et individuelles. Chacun est invité à dire, en son nom, ce qui lui semble important concernant sa place dans ce groupe, dans cette formation. </w:t>
            </w:r>
          </w:p>
          <w:p w:rsidR="00BA0C70" w:rsidRPr="0084780C" w:rsidRDefault="00BA0C70" w:rsidP="00BA0C70">
            <w:pPr>
              <w:pStyle w:val="PARA-tableau01"/>
            </w:pPr>
            <w:r w:rsidRPr="0084780C">
              <w:t>Ce n’est pas un lieu de débats : on ne cherche pas à savoir qui à raison, mais on peut réagir sur la parole précédente.</w:t>
            </w:r>
          </w:p>
          <w:p w:rsidR="00BA0C70" w:rsidRPr="0084780C" w:rsidRDefault="00BA0C70" w:rsidP="00BA0C70">
            <w:pPr>
              <w:pStyle w:val="PARA-tableau01"/>
            </w:pPr>
            <w:r w:rsidRPr="0084780C">
              <w:t xml:space="preserve">A chacun d’entendre les prises de paroles, de les comprendre et de réfléchir en quoi elles entrent en résonance avec son propre ressenti.  Attention, ce moment ne doit pas être </w:t>
            </w:r>
            <w:proofErr w:type="gramStart"/>
            <w:r w:rsidRPr="0084780C">
              <w:t>limité</w:t>
            </w:r>
            <w:proofErr w:type="gramEnd"/>
            <w:r w:rsidRPr="0084780C">
              <w:t xml:space="preserve"> à une accumulation de doléances, mais il doit amener chacun à l’élaboration de la réflexion.</w:t>
            </w:r>
          </w:p>
        </w:tc>
      </w:tr>
      <w:tr w:rsidR="00BA0C70" w:rsidRPr="0084780C" w:rsidTr="00D04D35">
        <w:tc>
          <w:tcPr>
            <w:tcW w:w="2448" w:type="dxa"/>
          </w:tcPr>
          <w:p w:rsidR="00BA0C70" w:rsidRPr="00BA0C70" w:rsidRDefault="00BA0C70" w:rsidP="00BA0C70">
            <w:pPr>
              <w:pStyle w:val="PARA-tableau01"/>
              <w:rPr>
                <w:b/>
              </w:rPr>
            </w:pPr>
            <w:r w:rsidRPr="00BA0C70">
              <w:rPr>
                <w:b/>
              </w:rPr>
              <w:t>Variantes</w:t>
            </w:r>
          </w:p>
        </w:tc>
        <w:tc>
          <w:tcPr>
            <w:tcW w:w="6879" w:type="dxa"/>
          </w:tcPr>
          <w:p w:rsidR="00BA0C70" w:rsidRPr="00780A57" w:rsidRDefault="00BA0C70" w:rsidP="00BA0C70">
            <w:pPr>
              <w:pStyle w:val="PARA-tableau01"/>
            </w:pPr>
            <w:r w:rsidRPr="0084780C">
              <w:t xml:space="preserve">Avec certains groupes (grand groupe, bafa1) on met en place un outil </w:t>
            </w:r>
            <w:r w:rsidRPr="00780A57">
              <w:t xml:space="preserve">permettant de déclencher et de favoriser la parole. Exemples : groupes de 10 personnes bourdonnants avec ou sans rapporteur, temps d’écrits sur des affiches, dessins, etc. Toutefois, l’espace collectif doit exister et avoir </w:t>
            </w:r>
            <w:r w:rsidRPr="00780A57">
              <w:lastRenderedPageBreak/>
              <w:t>une certaine durée (minimum 5 min) pour permettre à la parole d’exister.</w:t>
            </w:r>
          </w:p>
          <w:p w:rsidR="00BA0C70" w:rsidRPr="0084780C" w:rsidRDefault="00BA0C70" w:rsidP="00BA0C70">
            <w:pPr>
              <w:pStyle w:val="PARA-tableau01"/>
            </w:pPr>
            <w:r w:rsidRPr="00780A57">
              <w:t>Souvent, on remarque au cours du stage, que les groupes bourdonnants sont de plus en plus courts et le temps collectif prend de l’ampleur.</w:t>
            </w:r>
          </w:p>
        </w:tc>
      </w:tr>
      <w:tr w:rsidR="00BA0C70" w:rsidRPr="0084780C" w:rsidTr="00D04D35">
        <w:tc>
          <w:tcPr>
            <w:tcW w:w="2448" w:type="dxa"/>
          </w:tcPr>
          <w:p w:rsidR="00BA0C70" w:rsidRPr="00BA0C70" w:rsidRDefault="00BA0C70" w:rsidP="00BA0C70">
            <w:pPr>
              <w:pStyle w:val="PARA-tableau01"/>
              <w:rPr>
                <w:b/>
              </w:rPr>
            </w:pPr>
            <w:r w:rsidRPr="00BA0C70">
              <w:rPr>
                <w:b/>
              </w:rPr>
              <w:lastRenderedPageBreak/>
              <w:t>Qui anime</w:t>
            </w:r>
          </w:p>
        </w:tc>
        <w:tc>
          <w:tcPr>
            <w:tcW w:w="6879" w:type="dxa"/>
          </w:tcPr>
          <w:p w:rsidR="00BA0C70" w:rsidRPr="0084780C" w:rsidRDefault="00BA0C70" w:rsidP="00BA0C70">
            <w:pPr>
              <w:pStyle w:val="PARA-tableau01"/>
            </w:pPr>
            <w:r w:rsidRPr="0084780C">
              <w:t>Un formateur volontaire qui se sent assez serein pour animer ce moment. Changer de formateur est enrichissant car les manières de fonctionner sont différentes.</w:t>
            </w:r>
          </w:p>
          <w:p w:rsidR="00BA0C70" w:rsidRPr="0084780C" w:rsidRDefault="00BA0C70" w:rsidP="00BA0C70">
            <w:pPr>
              <w:pStyle w:val="PARA-tableau01"/>
            </w:pPr>
            <w:r w:rsidRPr="0084780C">
              <w:t>Les autres formateurs participent en tant que membres du groupe. Cependant, ils n’oublient pas leur place et sont aidants vis à vis de celui qui anime. Ils sont prudents lors de leurs prises de parole. Les interventions des formateurs ne se font pas au nom de l’équipe.</w:t>
            </w:r>
          </w:p>
        </w:tc>
      </w:tr>
      <w:tr w:rsidR="00BA0C70" w:rsidRPr="0084780C" w:rsidTr="00D04D35">
        <w:tc>
          <w:tcPr>
            <w:tcW w:w="2448" w:type="dxa"/>
          </w:tcPr>
          <w:p w:rsidR="00BA0C70" w:rsidRPr="00BA0C70" w:rsidRDefault="00BA0C70" w:rsidP="00BA0C70">
            <w:pPr>
              <w:pStyle w:val="PARA-tableau01"/>
              <w:rPr>
                <w:b/>
              </w:rPr>
            </w:pPr>
            <w:r w:rsidRPr="00BA0C70">
              <w:rPr>
                <w:b/>
              </w:rPr>
              <w:t>Conseils pour animer ce moment</w:t>
            </w:r>
          </w:p>
        </w:tc>
        <w:tc>
          <w:tcPr>
            <w:tcW w:w="6879" w:type="dxa"/>
          </w:tcPr>
          <w:p w:rsidR="00BA0C70" w:rsidRPr="0084780C" w:rsidRDefault="00BA0C70" w:rsidP="00BA0C70">
            <w:pPr>
              <w:pStyle w:val="PARA-tableau01"/>
            </w:pPr>
            <w:r w:rsidRPr="0084780C">
              <w:t>Le rôle du formateur est de garantir la sérénité de ce temps de travail. Il distribue la parole si cela est nécessaire, il recadre l’objet du travail quand il y a dérive, il reformule ce qui a été dit afin que les propos soient entendues par tous, il aide le groupe à comprendre son fonctionnement et il permet d’ouvrir d’autres portes.</w:t>
            </w:r>
          </w:p>
          <w:p w:rsidR="00BA0C70" w:rsidRPr="0084780C" w:rsidRDefault="00BA0C70" w:rsidP="00BA0C70">
            <w:pPr>
              <w:pStyle w:val="PARA-tableau01"/>
            </w:pPr>
          </w:p>
          <w:p w:rsidR="00BA0C70" w:rsidRPr="0084780C" w:rsidRDefault="00BA0C70" w:rsidP="00BA0C70">
            <w:pPr>
              <w:pStyle w:val="PARA-tableau01"/>
            </w:pPr>
            <w:r w:rsidRPr="0084780C">
              <w:t>Le formateur doit faire attention que ce moment ne soit pas un jeu de ping-pong mais bien un temps d’élaboration de prise de conscience. En aucun cas, ce moment de formation ne peut être réduit à un simple « ça va / ça ne va pas ».</w:t>
            </w:r>
          </w:p>
          <w:p w:rsidR="00BA0C70" w:rsidRPr="0084780C" w:rsidRDefault="00BA0C70" w:rsidP="00BA0C70">
            <w:pPr>
              <w:pStyle w:val="PARA-tableau01"/>
            </w:pPr>
            <w:r w:rsidRPr="0084780C">
              <w:t xml:space="preserve"> </w:t>
            </w:r>
          </w:p>
          <w:p w:rsidR="00BA0C70" w:rsidRPr="0084780C" w:rsidRDefault="00BA0C70" w:rsidP="00BA0C70">
            <w:pPr>
              <w:pStyle w:val="PARA-tableau01"/>
            </w:pPr>
            <w:r w:rsidRPr="0084780C">
              <w:t>Ce n’est pas le lieu, pour l’équipe, de donner son avis  sur le groupe, de pointer des disfonctionnements</w:t>
            </w:r>
            <w:r w:rsidRPr="0084780C">
              <w:rPr>
                <w:b/>
              </w:rPr>
              <w:t xml:space="preserve"> …</w:t>
            </w:r>
            <w:r w:rsidRPr="0084780C">
              <w:t xml:space="preserve"> Un autre temps est prévu pour ça : le moment « d’info-décisions ».</w:t>
            </w:r>
          </w:p>
          <w:p w:rsidR="00BA0C70" w:rsidRPr="0084780C" w:rsidRDefault="00BA0C70" w:rsidP="00BA0C70">
            <w:pPr>
              <w:pStyle w:val="PARA-tableau01"/>
            </w:pPr>
          </w:p>
        </w:tc>
      </w:tr>
    </w:tbl>
    <w:p w:rsidR="00320E78" w:rsidRDefault="00320E78" w:rsidP="00326C37">
      <w:pPr>
        <w:pStyle w:val="TITRETexte03"/>
        <w:spacing w:before="120"/>
      </w:pPr>
      <w:bookmarkStart w:id="0" w:name="_GoBack"/>
      <w:bookmarkEnd w:id="0"/>
    </w:p>
    <w:sectPr w:rsidR="00320E78" w:rsidSect="00BE1BF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9B7" w:rsidRDefault="005B69B7" w:rsidP="000C0925">
      <w:pPr>
        <w:spacing w:after="0" w:line="240" w:lineRule="auto"/>
      </w:pPr>
      <w:r>
        <w:separator/>
      </w:r>
    </w:p>
  </w:endnote>
  <w:endnote w:type="continuationSeparator" w:id="0">
    <w:p w:rsidR="005B69B7" w:rsidRDefault="005B69B7" w:rsidP="000C0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Frente H1">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9B7" w:rsidRDefault="005B69B7" w:rsidP="000C0925">
      <w:pPr>
        <w:spacing w:after="0" w:line="240" w:lineRule="auto"/>
      </w:pPr>
      <w:r>
        <w:separator/>
      </w:r>
    </w:p>
  </w:footnote>
  <w:footnote w:type="continuationSeparator" w:id="0">
    <w:p w:rsidR="005B69B7" w:rsidRDefault="005B69B7" w:rsidP="000C09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793" w:rsidRDefault="003C1793" w:rsidP="00EA2985">
    <w:pPr>
      <w:pStyle w:val="En-tte"/>
      <w:ind w:left="3540"/>
    </w:pPr>
    <w:r>
      <w:rPr>
        <w:noProof/>
        <w:lang w:eastAsia="fr-FR"/>
      </w:rPr>
      <w:drawing>
        <wp:anchor distT="0" distB="0" distL="114300" distR="114300" simplePos="0" relativeHeight="251661312" behindDoc="1" locked="0" layoutInCell="1" allowOverlap="1">
          <wp:simplePos x="0" y="0"/>
          <wp:positionH relativeFrom="column">
            <wp:posOffset>-356870</wp:posOffset>
          </wp:positionH>
          <wp:positionV relativeFrom="paragraph">
            <wp:posOffset>-135255</wp:posOffset>
          </wp:positionV>
          <wp:extent cx="923925" cy="480691"/>
          <wp:effectExtent l="19050" t="0" r="9525" b="0"/>
          <wp:wrapNone/>
          <wp:docPr id="1" name="Image 1" descr="couleur_fond_transparent_5x11c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leur_fond_transparent_5x11cm.png"/>
                  <pic:cNvPicPr/>
                </pic:nvPicPr>
                <pic:blipFill>
                  <a:blip r:embed="rId1"/>
                  <a:stretch>
                    <a:fillRect/>
                  </a:stretch>
                </pic:blipFill>
                <pic:spPr>
                  <a:xfrm>
                    <a:off x="0" y="0"/>
                    <a:ext cx="923925" cy="480691"/>
                  </a:xfrm>
                  <a:prstGeom prst="rect">
                    <a:avLst/>
                  </a:prstGeom>
                </pic:spPr>
              </pic:pic>
            </a:graphicData>
          </a:graphic>
        </wp:anchor>
      </w:drawing>
    </w:r>
    <w:r w:rsidR="00516519">
      <w:tab/>
    </w:r>
    <w:r>
      <w:tab/>
      <w:t xml:space="preserve">Date de </w:t>
    </w:r>
    <w:r w:rsidR="00DC7485">
      <w:t>mise à jour</w:t>
    </w:r>
    <w:r>
      <w:t> :</w:t>
    </w:r>
    <w:r>
      <w:br/>
    </w:r>
    <w:r>
      <w:tab/>
    </w:r>
    <w:r>
      <w:tab/>
    </w:r>
    <w:r w:rsidR="00CA01D1">
      <w:fldChar w:fldCharType="begin"/>
    </w:r>
    <w:r w:rsidR="00CA01D1">
      <w:instrText xml:space="preserve"> TIME \@ "dd/MM/yyyy" </w:instrText>
    </w:r>
    <w:r w:rsidR="00CA01D1">
      <w:fldChar w:fldCharType="separate"/>
    </w:r>
    <w:r w:rsidR="00326C37">
      <w:rPr>
        <w:noProof/>
      </w:rPr>
      <w:t>08/12/2017</w:t>
    </w:r>
    <w:r w:rsidR="00CA01D1">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8661BA"/>
    <w:multiLevelType w:val="hybridMultilevel"/>
    <w:tmpl w:val="A32E8822"/>
    <w:lvl w:ilvl="0" w:tplc="33AA783A">
      <w:start w:val="1"/>
      <w:numFmt w:val="bullet"/>
      <w:pStyle w:val="LISTE02"/>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4711088"/>
    <w:multiLevelType w:val="multilevel"/>
    <w:tmpl w:val="D63A27DE"/>
    <w:lvl w:ilvl="0">
      <w:start w:val="1"/>
      <w:numFmt w:val="decimal"/>
      <w:pStyle w:val="LISTE112"/>
      <w:lvlText w:val="%1."/>
      <w:lvlJc w:val="left"/>
      <w:pPr>
        <w:ind w:left="570" w:hanging="360"/>
      </w:pPr>
    </w:lvl>
    <w:lvl w:ilvl="1">
      <w:start w:val="1"/>
      <w:numFmt w:val="decimal"/>
      <w:lvlText w:val="%1.%2."/>
      <w:lvlJc w:val="left"/>
      <w:pPr>
        <w:ind w:left="1002" w:hanging="432"/>
      </w:pPr>
    </w:lvl>
    <w:lvl w:ilvl="2">
      <w:start w:val="1"/>
      <w:numFmt w:val="decimal"/>
      <w:lvlText w:val="%1.%2.%3."/>
      <w:lvlJc w:val="left"/>
      <w:pPr>
        <w:ind w:left="1434" w:hanging="504"/>
      </w:pPr>
    </w:lvl>
    <w:lvl w:ilvl="3">
      <w:start w:val="1"/>
      <w:numFmt w:val="decimal"/>
      <w:lvlText w:val="%1.%2.%3.%4."/>
      <w:lvlJc w:val="left"/>
      <w:pPr>
        <w:ind w:left="1938" w:hanging="648"/>
      </w:pPr>
    </w:lvl>
    <w:lvl w:ilvl="4">
      <w:start w:val="1"/>
      <w:numFmt w:val="decimal"/>
      <w:lvlText w:val="%1.%2.%3.%4.%5."/>
      <w:lvlJc w:val="left"/>
      <w:pPr>
        <w:ind w:left="2442" w:hanging="792"/>
      </w:pPr>
    </w:lvl>
    <w:lvl w:ilvl="5">
      <w:start w:val="1"/>
      <w:numFmt w:val="decimal"/>
      <w:lvlText w:val="%1.%2.%3.%4.%5.%6."/>
      <w:lvlJc w:val="left"/>
      <w:pPr>
        <w:ind w:left="2946" w:hanging="936"/>
      </w:pPr>
    </w:lvl>
    <w:lvl w:ilvl="6">
      <w:start w:val="1"/>
      <w:numFmt w:val="decimal"/>
      <w:lvlText w:val="%1.%2.%3.%4.%5.%6.%7."/>
      <w:lvlJc w:val="left"/>
      <w:pPr>
        <w:ind w:left="3450" w:hanging="1080"/>
      </w:pPr>
    </w:lvl>
    <w:lvl w:ilvl="7">
      <w:start w:val="1"/>
      <w:numFmt w:val="decimal"/>
      <w:lvlText w:val="%1.%2.%3.%4.%5.%6.%7.%8."/>
      <w:lvlJc w:val="left"/>
      <w:pPr>
        <w:ind w:left="3954" w:hanging="1224"/>
      </w:pPr>
    </w:lvl>
    <w:lvl w:ilvl="8">
      <w:start w:val="1"/>
      <w:numFmt w:val="decimal"/>
      <w:lvlText w:val="%1.%2.%3.%4.%5.%6.%7.%8.%9."/>
      <w:lvlJc w:val="left"/>
      <w:pPr>
        <w:ind w:left="4530" w:hanging="1440"/>
      </w:pPr>
    </w:lvl>
  </w:abstractNum>
  <w:abstractNum w:abstractNumId="2" w15:restartNumberingAfterBreak="0">
    <w:nsid w:val="4D707CCC"/>
    <w:multiLevelType w:val="hybridMultilevel"/>
    <w:tmpl w:val="396AF3AA"/>
    <w:lvl w:ilvl="0" w:tplc="6B6A4DC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69D0872"/>
    <w:multiLevelType w:val="hybridMultilevel"/>
    <w:tmpl w:val="D2BCEDB6"/>
    <w:lvl w:ilvl="0" w:tplc="1132FE44">
      <w:numFmt w:val="bullet"/>
      <w:pStyle w:val="LISTE01"/>
      <w:lvlText w:val=""/>
      <w:lvlJc w:val="left"/>
      <w:pPr>
        <w:ind w:left="644"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9075C03"/>
    <w:multiLevelType w:val="hybridMultilevel"/>
    <w:tmpl w:val="10B2F8CC"/>
    <w:lvl w:ilvl="0" w:tplc="A328C73E">
      <w:start w:val="1"/>
      <w:numFmt w:val="decimal"/>
      <w:pStyle w:val="TITRE1"/>
      <w:lvlText w:val="%1."/>
      <w:lvlJc w:val="left"/>
      <w:pPr>
        <w:ind w:left="717" w:hanging="360"/>
      </w:pPr>
      <w:rPr>
        <w:rFonts w:ascii="Calibri Light" w:hAnsi="Calibri Light"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66547"/>
    <w:rsid w:val="000266F5"/>
    <w:rsid w:val="00061C49"/>
    <w:rsid w:val="0009266E"/>
    <w:rsid w:val="000A4C6C"/>
    <w:rsid w:val="000C06F3"/>
    <w:rsid w:val="000C0925"/>
    <w:rsid w:val="000C0F82"/>
    <w:rsid w:val="000E4B8B"/>
    <w:rsid w:val="00125BAA"/>
    <w:rsid w:val="00165330"/>
    <w:rsid w:val="00176B51"/>
    <w:rsid w:val="00180CA0"/>
    <w:rsid w:val="00183055"/>
    <w:rsid w:val="001B5848"/>
    <w:rsid w:val="001E7B9C"/>
    <w:rsid w:val="0020473E"/>
    <w:rsid w:val="00221616"/>
    <w:rsid w:val="002605B7"/>
    <w:rsid w:val="00266547"/>
    <w:rsid w:val="002821DA"/>
    <w:rsid w:val="002850C4"/>
    <w:rsid w:val="002900B2"/>
    <w:rsid w:val="002B62E6"/>
    <w:rsid w:val="002E021B"/>
    <w:rsid w:val="002F183C"/>
    <w:rsid w:val="00320E78"/>
    <w:rsid w:val="00326C37"/>
    <w:rsid w:val="003759B8"/>
    <w:rsid w:val="003C1512"/>
    <w:rsid w:val="003C1793"/>
    <w:rsid w:val="003D71BE"/>
    <w:rsid w:val="003E2EA3"/>
    <w:rsid w:val="00415D6F"/>
    <w:rsid w:val="00432B95"/>
    <w:rsid w:val="00433149"/>
    <w:rsid w:val="00482421"/>
    <w:rsid w:val="004827F4"/>
    <w:rsid w:val="005014CA"/>
    <w:rsid w:val="00512A1F"/>
    <w:rsid w:val="00516519"/>
    <w:rsid w:val="00541591"/>
    <w:rsid w:val="0055257F"/>
    <w:rsid w:val="00556187"/>
    <w:rsid w:val="0056007A"/>
    <w:rsid w:val="00566BDD"/>
    <w:rsid w:val="005B69B7"/>
    <w:rsid w:val="005D1382"/>
    <w:rsid w:val="005D5CF4"/>
    <w:rsid w:val="005F5E8C"/>
    <w:rsid w:val="0060378B"/>
    <w:rsid w:val="006701A5"/>
    <w:rsid w:val="0067670B"/>
    <w:rsid w:val="0067761E"/>
    <w:rsid w:val="00696362"/>
    <w:rsid w:val="006B0123"/>
    <w:rsid w:val="006D1C3A"/>
    <w:rsid w:val="006D79B3"/>
    <w:rsid w:val="006E2988"/>
    <w:rsid w:val="007203BE"/>
    <w:rsid w:val="00731947"/>
    <w:rsid w:val="007337C7"/>
    <w:rsid w:val="00741316"/>
    <w:rsid w:val="00766B58"/>
    <w:rsid w:val="0077182C"/>
    <w:rsid w:val="00780A57"/>
    <w:rsid w:val="00784D44"/>
    <w:rsid w:val="007A0DBD"/>
    <w:rsid w:val="007B1F24"/>
    <w:rsid w:val="007D0FF6"/>
    <w:rsid w:val="00803887"/>
    <w:rsid w:val="008170F4"/>
    <w:rsid w:val="008222DD"/>
    <w:rsid w:val="008442BB"/>
    <w:rsid w:val="00852BCB"/>
    <w:rsid w:val="00854906"/>
    <w:rsid w:val="0088114F"/>
    <w:rsid w:val="008C4C8F"/>
    <w:rsid w:val="008E38C1"/>
    <w:rsid w:val="0092384F"/>
    <w:rsid w:val="009312FD"/>
    <w:rsid w:val="00952F16"/>
    <w:rsid w:val="00966A9F"/>
    <w:rsid w:val="0099415E"/>
    <w:rsid w:val="009F5BB2"/>
    <w:rsid w:val="00A22A48"/>
    <w:rsid w:val="00A271FE"/>
    <w:rsid w:val="00A316B2"/>
    <w:rsid w:val="00A613EC"/>
    <w:rsid w:val="00AA2D7E"/>
    <w:rsid w:val="00AD28DE"/>
    <w:rsid w:val="00AF2984"/>
    <w:rsid w:val="00B118F4"/>
    <w:rsid w:val="00B17F96"/>
    <w:rsid w:val="00B2654C"/>
    <w:rsid w:val="00B716DF"/>
    <w:rsid w:val="00BA0C70"/>
    <w:rsid w:val="00BC5162"/>
    <w:rsid w:val="00BE1BF2"/>
    <w:rsid w:val="00BE627E"/>
    <w:rsid w:val="00BF512D"/>
    <w:rsid w:val="00C0432F"/>
    <w:rsid w:val="00C5438F"/>
    <w:rsid w:val="00C61137"/>
    <w:rsid w:val="00C76C78"/>
    <w:rsid w:val="00C935A1"/>
    <w:rsid w:val="00C96E49"/>
    <w:rsid w:val="00CA01D1"/>
    <w:rsid w:val="00CB652E"/>
    <w:rsid w:val="00CD0805"/>
    <w:rsid w:val="00CF49D6"/>
    <w:rsid w:val="00D4415D"/>
    <w:rsid w:val="00DC7485"/>
    <w:rsid w:val="00E330FF"/>
    <w:rsid w:val="00E51C64"/>
    <w:rsid w:val="00E71E16"/>
    <w:rsid w:val="00E92EB9"/>
    <w:rsid w:val="00EA2985"/>
    <w:rsid w:val="00EA58F2"/>
    <w:rsid w:val="00EC084A"/>
    <w:rsid w:val="00FB2695"/>
    <w:rsid w:val="00FC3359"/>
    <w:rsid w:val="00FF6C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C8EE1B-7D21-463C-8575-CCF5AE634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E8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01">
    <w:name w:val="PARA 01"/>
    <w:basedOn w:val="Normal"/>
    <w:uiPriority w:val="3"/>
    <w:rsid w:val="00FC3359"/>
    <w:pPr>
      <w:spacing w:after="80" w:line="240" w:lineRule="auto"/>
    </w:pPr>
    <w:rPr>
      <w:rFonts w:ascii="Calibri Light" w:hAnsi="Calibri Light"/>
      <w:bCs/>
    </w:rPr>
  </w:style>
  <w:style w:type="paragraph" w:customStyle="1" w:styleId="LISTE01">
    <w:name w:val="LISTE 01"/>
    <w:basedOn w:val="PARA01"/>
    <w:next w:val="PARA01"/>
    <w:uiPriority w:val="4"/>
    <w:rsid w:val="00852BCB"/>
    <w:pPr>
      <w:numPr>
        <w:numId w:val="1"/>
      </w:numPr>
      <w:contextualSpacing/>
    </w:pPr>
    <w:rPr>
      <w:bCs w:val="0"/>
    </w:rPr>
  </w:style>
  <w:style w:type="paragraph" w:customStyle="1" w:styleId="LISTE02">
    <w:name w:val="LISTE 02"/>
    <w:basedOn w:val="LISTE01"/>
    <w:next w:val="PARA01"/>
    <w:uiPriority w:val="4"/>
    <w:rsid w:val="00E92EB9"/>
    <w:pPr>
      <w:numPr>
        <w:numId w:val="7"/>
      </w:numPr>
    </w:pPr>
  </w:style>
  <w:style w:type="paragraph" w:customStyle="1" w:styleId="LISTE112">
    <w:name w:val="LISTE 1.1.2"/>
    <w:basedOn w:val="PARA01"/>
    <w:uiPriority w:val="4"/>
    <w:rsid w:val="00852BCB"/>
    <w:pPr>
      <w:numPr>
        <w:numId w:val="5"/>
      </w:numPr>
    </w:pPr>
  </w:style>
  <w:style w:type="paragraph" w:customStyle="1" w:styleId="TITRE1">
    <w:name w:val="TITRE 1."/>
    <w:basedOn w:val="Paragraphedeliste"/>
    <w:uiPriority w:val="1"/>
    <w:qFormat/>
    <w:rsid w:val="00852BCB"/>
    <w:pPr>
      <w:numPr>
        <w:numId w:val="4"/>
      </w:numPr>
      <w:spacing w:before="480" w:after="240" w:line="240" w:lineRule="auto"/>
    </w:pPr>
    <w:rPr>
      <w:rFonts w:ascii="Calibri Light" w:hAnsi="Calibri Light"/>
      <w:b/>
      <w:bCs/>
      <w:color w:val="A10739"/>
      <w:sz w:val="32"/>
    </w:rPr>
  </w:style>
  <w:style w:type="paragraph" w:styleId="Paragraphedeliste">
    <w:name w:val="List Paragraph"/>
    <w:basedOn w:val="Normal"/>
    <w:uiPriority w:val="34"/>
    <w:qFormat/>
    <w:rsid w:val="00852BCB"/>
    <w:pPr>
      <w:ind w:left="720"/>
      <w:contextualSpacing/>
    </w:pPr>
  </w:style>
  <w:style w:type="paragraph" w:customStyle="1" w:styleId="TITREDOC01">
    <w:name w:val="TITRE DOC 01"/>
    <w:basedOn w:val="Normal"/>
    <w:qFormat/>
    <w:rsid w:val="00852BCB"/>
    <w:pPr>
      <w:spacing w:line="240" w:lineRule="auto"/>
      <w:jc w:val="center"/>
    </w:pPr>
    <w:rPr>
      <w:rFonts w:ascii="Frente H1" w:hAnsi="Frente H1"/>
      <w:b/>
      <w:bCs/>
      <w:color w:val="05789B"/>
      <w:sz w:val="36"/>
    </w:rPr>
  </w:style>
  <w:style w:type="paragraph" w:customStyle="1" w:styleId="TITRETexte01">
    <w:name w:val="TITRE Texte 01"/>
    <w:basedOn w:val="Normal"/>
    <w:next w:val="PARA01"/>
    <w:uiPriority w:val="2"/>
    <w:qFormat/>
    <w:rsid w:val="00FC3359"/>
    <w:pPr>
      <w:spacing w:before="480" w:after="120" w:line="240" w:lineRule="auto"/>
    </w:pPr>
    <w:rPr>
      <w:rFonts w:ascii="Frente H1" w:hAnsi="Frente H1"/>
      <w:b/>
      <w:bCs/>
      <w:sz w:val="32"/>
    </w:rPr>
  </w:style>
  <w:style w:type="paragraph" w:styleId="En-tte">
    <w:name w:val="header"/>
    <w:basedOn w:val="Normal"/>
    <w:link w:val="En-tteCar"/>
    <w:uiPriority w:val="99"/>
    <w:semiHidden/>
    <w:unhideWhenUsed/>
    <w:rsid w:val="005F5E8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F5E8C"/>
  </w:style>
  <w:style w:type="table" w:styleId="Grilledutableau">
    <w:name w:val="Table Grid"/>
    <w:basedOn w:val="TableauNormal"/>
    <w:uiPriority w:val="59"/>
    <w:rsid w:val="005F5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semiHidden/>
    <w:unhideWhenUsed/>
    <w:rsid w:val="000C0925"/>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0C0925"/>
  </w:style>
  <w:style w:type="paragraph" w:customStyle="1" w:styleId="TITRETexte03">
    <w:name w:val="TITRE Texte 03"/>
    <w:basedOn w:val="PARA01"/>
    <w:uiPriority w:val="2"/>
    <w:qFormat/>
    <w:rsid w:val="00B716DF"/>
    <w:pPr>
      <w:spacing w:before="240"/>
    </w:pPr>
    <w:rPr>
      <w:b/>
      <w:color w:val="05789B"/>
      <w:sz w:val="24"/>
      <w:szCs w:val="24"/>
    </w:rPr>
  </w:style>
  <w:style w:type="paragraph" w:customStyle="1" w:styleId="PARA-tableau01">
    <w:name w:val="PARA-tableau 01"/>
    <w:basedOn w:val="Normal"/>
    <w:uiPriority w:val="3"/>
    <w:qFormat/>
    <w:rsid w:val="00E51C64"/>
    <w:pPr>
      <w:spacing w:before="120" w:after="120" w:line="240" w:lineRule="auto"/>
    </w:pPr>
    <w:rPr>
      <w:rFonts w:ascii="Calibri Light" w:hAnsi="Calibri Light"/>
    </w:rPr>
  </w:style>
  <w:style w:type="character" w:styleId="Lienhypertexte">
    <w:name w:val="Hyperlink"/>
    <w:basedOn w:val="Policepardfaut"/>
    <w:uiPriority w:val="99"/>
    <w:unhideWhenUsed/>
    <w:rsid w:val="00BA0C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Documents\Lea%20actif\MISSION\TRAMES%20de%20formalisation\Trame_fiche-d&#233;marche-num&#233;rique_ao&#251;t20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Trame_fiche-démarche-numérique_août2017</Template>
  <TotalTime>31</TotalTime>
  <Pages>2</Pages>
  <Words>544</Words>
  <Characters>2997</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dc:creator>
  <cp:lastModifiedBy>Lea</cp:lastModifiedBy>
  <cp:revision>6</cp:revision>
  <cp:lastPrinted>2017-06-19T09:07:00Z</cp:lastPrinted>
  <dcterms:created xsi:type="dcterms:W3CDTF">2017-08-11T09:49:00Z</dcterms:created>
  <dcterms:modified xsi:type="dcterms:W3CDTF">2017-12-08T11:21:00Z</dcterms:modified>
</cp:coreProperties>
</file>